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2" w:type="dxa"/>
        <w:tblLayout w:type="fixed"/>
        <w:tblCellMar>
          <w:left w:w="70" w:type="dxa"/>
          <w:right w:w="70" w:type="dxa"/>
        </w:tblCellMar>
        <w:tblLook w:val="0000" w:firstRow="0" w:lastRow="0" w:firstColumn="0" w:lastColumn="0" w:noHBand="0" w:noVBand="0"/>
      </w:tblPr>
      <w:tblGrid>
        <w:gridCol w:w="2518"/>
        <w:gridCol w:w="7194"/>
      </w:tblGrid>
      <w:tr w:rsidR="0064353A">
        <w:trPr>
          <w:cantSplit/>
        </w:trPr>
        <w:tc>
          <w:tcPr>
            <w:tcW w:w="9712" w:type="dxa"/>
            <w:gridSpan w:val="2"/>
          </w:tcPr>
          <w:p w:rsidR="0064353A" w:rsidRDefault="0064353A">
            <w:pPr>
              <w:pStyle w:val="rgtcomm"/>
              <w:pBdr>
                <w:top w:val="single" w:sz="4" w:space="1" w:color="auto"/>
                <w:left w:val="single" w:sz="4" w:space="4" w:color="auto"/>
                <w:bottom w:val="single" w:sz="4" w:space="1" w:color="auto"/>
                <w:right w:val="single" w:sz="4" w:space="4" w:color="auto"/>
              </w:pBdr>
              <w:shd w:val="clear" w:color="auto" w:fill="CCCCCC"/>
              <w:spacing w:before="0" w:after="0" w:line="240" w:lineRule="auto"/>
              <w:ind w:left="1208" w:right="1134"/>
              <w:rPr>
                <w:bCs/>
                <w:sz w:val="16"/>
              </w:rPr>
            </w:pPr>
            <w:r>
              <w:rPr>
                <w:bCs/>
                <w:sz w:val="16"/>
                <w:u w:val="none"/>
              </w:rPr>
              <w:br/>
            </w:r>
            <w:r>
              <w:rPr>
                <w:bCs/>
                <w:sz w:val="32"/>
                <w:u w:val="none"/>
              </w:rPr>
              <w:t>MODELE DE CONVENTION DE FUSION</w:t>
            </w:r>
            <w:r>
              <w:rPr>
                <w:rStyle w:val="Appelnotedebasdep"/>
                <w:bCs/>
                <w:sz w:val="32"/>
                <w:szCs w:val="32"/>
                <w:u w:val="none"/>
              </w:rPr>
              <w:footnoteReference w:customMarkFollows="1" w:id="1"/>
              <w:sym w:font="Symbol" w:char="F02A"/>
            </w:r>
            <w:r>
              <w:rPr>
                <w:bCs/>
                <w:sz w:val="32"/>
                <w:u w:val="none"/>
              </w:rPr>
              <w:br/>
            </w:r>
            <w:r>
              <w:rPr>
                <w:bCs/>
                <w:sz w:val="16"/>
                <w:u w:val="none"/>
              </w:rPr>
              <w:br/>
            </w:r>
            <w:r>
              <w:rPr>
                <w:bCs/>
                <w:sz w:val="32"/>
                <w:u w:val="none"/>
              </w:rPr>
              <w:t>entre les communes de A, B et C</w:t>
            </w:r>
            <w:r>
              <w:rPr>
                <w:bCs/>
                <w:sz w:val="32"/>
                <w:u w:val="none"/>
              </w:rPr>
              <w:br/>
            </w:r>
          </w:p>
          <w:p w:rsidR="0064353A" w:rsidRDefault="0064353A">
            <w:pPr>
              <w:pStyle w:val="rgtcomm"/>
              <w:spacing w:before="1200" w:after="1200"/>
              <w:rPr>
                <w:sz w:val="28"/>
                <w:u w:val="none"/>
              </w:rPr>
            </w:pPr>
            <w:r>
              <w:rPr>
                <w:sz w:val="28"/>
                <w:u w:val="none"/>
              </w:rPr>
              <w:t>élaboré par le service des communes</w:t>
            </w:r>
          </w:p>
        </w:tc>
      </w:tr>
      <w:tr w:rsidR="0064353A">
        <w:trPr>
          <w:cantSplit/>
        </w:trPr>
        <w:tc>
          <w:tcPr>
            <w:tcW w:w="9712" w:type="dxa"/>
            <w:gridSpan w:val="2"/>
          </w:tcPr>
          <w:p w:rsidR="0064353A" w:rsidRDefault="0064353A">
            <w:pPr>
              <w:pStyle w:val="rgtchapn"/>
              <w:spacing w:after="720"/>
            </w:pPr>
            <w:r>
              <w:t>Chapitre 1</w:t>
            </w:r>
          </w:p>
        </w:tc>
      </w:tr>
      <w:tr w:rsidR="0064353A">
        <w:trPr>
          <w:cantSplit/>
        </w:trPr>
        <w:tc>
          <w:tcPr>
            <w:tcW w:w="9712" w:type="dxa"/>
            <w:gridSpan w:val="2"/>
          </w:tcPr>
          <w:p w:rsidR="0064353A" w:rsidRDefault="0064353A">
            <w:pPr>
              <w:pStyle w:val="rgtcont"/>
              <w:numPr>
                <w:ilvl w:val="0"/>
                <w:numId w:val="1"/>
              </w:numPr>
            </w:pPr>
            <w:r>
              <w:t>GENERALITES</w:t>
            </w:r>
          </w:p>
        </w:tc>
      </w:tr>
      <w:tr w:rsidR="0064353A">
        <w:trPr>
          <w:cantSplit/>
        </w:trPr>
        <w:tc>
          <w:tcPr>
            <w:tcW w:w="2518" w:type="dxa"/>
          </w:tcPr>
          <w:p w:rsidR="0064353A" w:rsidRDefault="0064353A">
            <w:pPr>
              <w:pStyle w:val="rgtartxp"/>
              <w:spacing w:after="480"/>
              <w:jc w:val="left"/>
            </w:pPr>
            <w:r>
              <w:t>Date de la fusion</w:t>
            </w:r>
          </w:p>
        </w:tc>
        <w:tc>
          <w:tcPr>
            <w:tcW w:w="7194" w:type="dxa"/>
          </w:tcPr>
          <w:p w:rsidR="0064353A" w:rsidRDefault="0064353A">
            <w:pPr>
              <w:pStyle w:val="rgtartxp"/>
              <w:numPr>
                <w:ilvl w:val="0"/>
                <w:numId w:val="2"/>
              </w:numPr>
              <w:spacing w:after="480"/>
            </w:pPr>
            <w:r>
              <w:t>Les communes de A, B et C (</w:t>
            </w:r>
            <w:r>
              <w:rPr>
                <w:i/>
                <w:iCs/>
              </w:rPr>
              <w:t>ci-après: les anciennes communes</w:t>
            </w:r>
            <w:r>
              <w:t xml:space="preserve">) fusionnent en </w:t>
            </w:r>
            <w:r w:rsidR="00F27654">
              <w:t xml:space="preserve">une </w:t>
            </w:r>
            <w:r>
              <w:t>seule commune (</w:t>
            </w:r>
            <w:r>
              <w:rPr>
                <w:i/>
                <w:iCs/>
              </w:rPr>
              <w:t>ci-après: la nouvelle commune</w:t>
            </w:r>
            <w:r>
              <w:t>) dès le 1</w:t>
            </w:r>
            <w:r>
              <w:rPr>
                <w:vertAlign w:val="superscript"/>
              </w:rPr>
              <w:t>er</w:t>
            </w:r>
            <w:r>
              <w:t xml:space="preserve"> janvier 20…</w:t>
            </w:r>
          </w:p>
        </w:tc>
      </w:tr>
      <w:tr w:rsidR="0064353A">
        <w:trPr>
          <w:cantSplit/>
        </w:trPr>
        <w:tc>
          <w:tcPr>
            <w:tcW w:w="2518" w:type="dxa"/>
          </w:tcPr>
          <w:p w:rsidR="0064353A" w:rsidRDefault="0064353A">
            <w:pPr>
              <w:pStyle w:val="rgtart1p"/>
              <w:spacing w:after="240"/>
              <w:jc w:val="left"/>
              <w:rPr>
                <w:sz w:val="22"/>
              </w:rPr>
            </w:pPr>
            <w:r>
              <w:rPr>
                <w:sz w:val="22"/>
              </w:rPr>
              <w:t>Nom</w:t>
            </w:r>
          </w:p>
        </w:tc>
        <w:tc>
          <w:tcPr>
            <w:tcW w:w="7194" w:type="dxa"/>
          </w:tcPr>
          <w:p w:rsidR="0064353A" w:rsidRDefault="0064353A">
            <w:pPr>
              <w:pStyle w:val="rgtart1p"/>
              <w:numPr>
                <w:ilvl w:val="0"/>
                <w:numId w:val="3"/>
              </w:numPr>
              <w:spacing w:after="240"/>
              <w:rPr>
                <w:sz w:val="22"/>
              </w:rPr>
            </w:pPr>
            <w:r>
              <w:rPr>
                <w:sz w:val="22"/>
                <w:vertAlign w:val="superscript"/>
              </w:rPr>
              <w:t>1</w:t>
            </w:r>
            <w:r>
              <w:rPr>
                <w:sz w:val="22"/>
              </w:rPr>
              <w:t>Le nom de la nouvelle commune est D.</w:t>
            </w:r>
          </w:p>
        </w:tc>
      </w:tr>
      <w:tr w:rsidR="0064353A">
        <w:trPr>
          <w:cantSplit/>
        </w:trPr>
        <w:tc>
          <w:tcPr>
            <w:tcW w:w="2518" w:type="dxa"/>
          </w:tcPr>
          <w:p w:rsidR="0064353A" w:rsidRDefault="0064353A">
            <w:pPr>
              <w:pStyle w:val="rgtartxp"/>
              <w:spacing w:after="480"/>
              <w:jc w:val="left"/>
            </w:pPr>
          </w:p>
        </w:tc>
        <w:tc>
          <w:tcPr>
            <w:tcW w:w="7194" w:type="dxa"/>
          </w:tcPr>
          <w:p w:rsidR="0064353A" w:rsidRDefault="0064353A">
            <w:pPr>
              <w:pStyle w:val="rgtartxp"/>
              <w:spacing w:after="480"/>
            </w:pPr>
            <w:r>
              <w:rPr>
                <w:vertAlign w:val="superscript"/>
              </w:rPr>
              <w:t>2</w:t>
            </w:r>
            <w:r>
              <w:t>Les noms de A, B et C cessent d'être ceux d'une commune pour devenir les noms des villages sis sur le territoire de la nouvelle commune.</w:t>
            </w:r>
          </w:p>
        </w:tc>
      </w:tr>
      <w:tr w:rsidR="0064353A">
        <w:trPr>
          <w:cantSplit/>
        </w:trPr>
        <w:tc>
          <w:tcPr>
            <w:tcW w:w="2518" w:type="dxa"/>
          </w:tcPr>
          <w:p w:rsidR="0064353A" w:rsidRDefault="0064353A">
            <w:pPr>
              <w:pStyle w:val="rgtartxp"/>
              <w:spacing w:after="480"/>
              <w:jc w:val="left"/>
              <w:rPr>
                <w:i/>
                <w:iCs/>
              </w:rPr>
            </w:pPr>
            <w:r>
              <w:rPr>
                <w:i/>
                <w:iCs/>
              </w:rPr>
              <w:t>Territoire</w:t>
            </w:r>
          </w:p>
        </w:tc>
        <w:tc>
          <w:tcPr>
            <w:tcW w:w="7194" w:type="dxa"/>
          </w:tcPr>
          <w:p w:rsidR="0064353A" w:rsidRDefault="0064353A">
            <w:pPr>
              <w:pStyle w:val="rgtartxp"/>
              <w:numPr>
                <w:ilvl w:val="0"/>
                <w:numId w:val="3"/>
              </w:numPr>
              <w:spacing w:after="480"/>
              <w:rPr>
                <w:i/>
                <w:iCs/>
              </w:rPr>
            </w:pPr>
            <w:r>
              <w:rPr>
                <w:i/>
                <w:iCs/>
              </w:rPr>
              <w:t>Le territoire de la commune de D est formé de la réunion des communes de A, B et C.</w:t>
            </w:r>
          </w:p>
        </w:tc>
      </w:tr>
      <w:tr w:rsidR="0064353A">
        <w:trPr>
          <w:cantSplit/>
        </w:trPr>
        <w:tc>
          <w:tcPr>
            <w:tcW w:w="2518" w:type="dxa"/>
          </w:tcPr>
          <w:p w:rsidR="0064353A" w:rsidRDefault="0064353A">
            <w:pPr>
              <w:pStyle w:val="rgtartxp"/>
              <w:spacing w:after="480"/>
              <w:jc w:val="left"/>
              <w:rPr>
                <w:i/>
                <w:iCs/>
              </w:rPr>
            </w:pPr>
            <w:r>
              <w:rPr>
                <w:i/>
                <w:iCs/>
              </w:rPr>
              <w:t>Armoiries</w:t>
            </w:r>
          </w:p>
        </w:tc>
        <w:tc>
          <w:tcPr>
            <w:tcW w:w="7194" w:type="dxa"/>
          </w:tcPr>
          <w:p w:rsidR="0064353A" w:rsidRDefault="0064353A" w:rsidP="006472B8">
            <w:pPr>
              <w:pStyle w:val="rgtartxp"/>
              <w:numPr>
                <w:ilvl w:val="0"/>
                <w:numId w:val="4"/>
              </w:numPr>
              <w:spacing w:after="480"/>
              <w:rPr>
                <w:i/>
                <w:iCs/>
              </w:rPr>
            </w:pPr>
            <w:r>
              <w:rPr>
                <w:i/>
                <w:iCs/>
              </w:rPr>
              <w:t>Les armoiries de la nouvelle commune sont représentées et définies comme suit: ………………………………………………………….</w:t>
            </w:r>
          </w:p>
        </w:tc>
      </w:tr>
      <w:tr w:rsidR="0064353A">
        <w:trPr>
          <w:cantSplit/>
        </w:trPr>
        <w:tc>
          <w:tcPr>
            <w:tcW w:w="2518" w:type="dxa"/>
          </w:tcPr>
          <w:p w:rsidR="0064353A" w:rsidRDefault="0064353A">
            <w:pPr>
              <w:pStyle w:val="rgtartxp"/>
              <w:spacing w:after="480"/>
              <w:jc w:val="left"/>
              <w:rPr>
                <w:i/>
                <w:iCs/>
              </w:rPr>
            </w:pPr>
            <w:r>
              <w:rPr>
                <w:i/>
                <w:iCs/>
              </w:rPr>
              <w:t>Siège de l'administration</w:t>
            </w:r>
          </w:p>
        </w:tc>
        <w:tc>
          <w:tcPr>
            <w:tcW w:w="7194" w:type="dxa"/>
          </w:tcPr>
          <w:p w:rsidR="0064353A" w:rsidRDefault="0064353A" w:rsidP="006472B8">
            <w:pPr>
              <w:pStyle w:val="rgtartxp"/>
              <w:numPr>
                <w:ilvl w:val="0"/>
                <w:numId w:val="4"/>
              </w:numPr>
              <w:spacing w:after="480"/>
              <w:rPr>
                <w:i/>
                <w:iCs/>
              </w:rPr>
            </w:pPr>
            <w:r>
              <w:rPr>
                <w:i/>
                <w:iCs/>
              </w:rPr>
              <w:t>Le siège de l'administration de la nouvelle commune est à ……</w:t>
            </w:r>
          </w:p>
        </w:tc>
      </w:tr>
    </w:tbl>
    <w:p w:rsidR="0064353A" w:rsidRDefault="0064353A">
      <w:pPr>
        <w:rPr>
          <w:b/>
        </w:rPr>
        <w:sectPr w:rsidR="0064353A">
          <w:pgSz w:w="11907" w:h="16840" w:code="9"/>
          <w:pgMar w:top="1701" w:right="1134" w:bottom="1134" w:left="1134" w:header="851" w:footer="567" w:gutter="0"/>
          <w:paperSrc w:first="15" w:other="15"/>
          <w:pgNumType w:start="2"/>
          <w:cols w:space="720"/>
        </w:sectPr>
      </w:pPr>
    </w:p>
    <w:tbl>
      <w:tblPr>
        <w:tblW w:w="0" w:type="auto"/>
        <w:tblInd w:w="-73" w:type="dxa"/>
        <w:tblLayout w:type="fixed"/>
        <w:tblCellMar>
          <w:left w:w="70" w:type="dxa"/>
          <w:right w:w="70" w:type="dxa"/>
        </w:tblCellMar>
        <w:tblLook w:val="0000" w:firstRow="0" w:lastRow="0" w:firstColumn="0" w:lastColumn="0" w:noHBand="0" w:noVBand="0"/>
      </w:tblPr>
      <w:tblGrid>
        <w:gridCol w:w="2518"/>
        <w:gridCol w:w="7195"/>
      </w:tblGrid>
      <w:tr w:rsidR="0064353A">
        <w:trPr>
          <w:cantSplit/>
        </w:trPr>
        <w:tc>
          <w:tcPr>
            <w:tcW w:w="9713" w:type="dxa"/>
            <w:gridSpan w:val="2"/>
          </w:tcPr>
          <w:p w:rsidR="0064353A" w:rsidRDefault="0064353A">
            <w:pPr>
              <w:pStyle w:val="rgtchapn"/>
              <w:spacing w:after="720"/>
            </w:pPr>
            <w:r>
              <w:lastRenderedPageBreak/>
              <w:t>Chapitre 2</w:t>
            </w:r>
          </w:p>
        </w:tc>
      </w:tr>
      <w:tr w:rsidR="0064353A">
        <w:trPr>
          <w:cantSplit/>
        </w:trPr>
        <w:tc>
          <w:tcPr>
            <w:tcW w:w="9713" w:type="dxa"/>
            <w:gridSpan w:val="2"/>
          </w:tcPr>
          <w:p w:rsidR="0064353A" w:rsidRDefault="0064353A" w:rsidP="006472B8">
            <w:pPr>
              <w:pStyle w:val="rgtcont"/>
              <w:numPr>
                <w:ilvl w:val="0"/>
                <w:numId w:val="5"/>
              </w:numPr>
            </w:pPr>
            <w:r>
              <w:t>AUTORITES</w:t>
            </w:r>
          </w:p>
        </w:tc>
      </w:tr>
      <w:tr w:rsidR="0064353A">
        <w:trPr>
          <w:cantSplit/>
        </w:trPr>
        <w:tc>
          <w:tcPr>
            <w:tcW w:w="2518" w:type="dxa"/>
          </w:tcPr>
          <w:p w:rsidR="0064353A" w:rsidRDefault="0064353A">
            <w:pPr>
              <w:pStyle w:val="rgtart1p"/>
              <w:spacing w:after="0"/>
              <w:jc w:val="left"/>
              <w:rPr>
                <w:sz w:val="22"/>
              </w:rPr>
            </w:pPr>
            <w:r>
              <w:rPr>
                <w:sz w:val="22"/>
              </w:rPr>
              <w:t>Conseil général</w:t>
            </w:r>
          </w:p>
          <w:p w:rsidR="0064353A" w:rsidRDefault="0064353A">
            <w:pPr>
              <w:pStyle w:val="rgtart1p"/>
              <w:spacing w:after="240"/>
              <w:jc w:val="left"/>
              <w:rPr>
                <w:b/>
                <w:bCs/>
                <w:i/>
                <w:iCs/>
                <w:sz w:val="20"/>
              </w:rPr>
            </w:pPr>
            <w:r>
              <w:rPr>
                <w:b/>
                <w:bCs/>
                <w:i/>
                <w:iCs/>
                <w:sz w:val="20"/>
              </w:rPr>
              <w:t>Variante 1</w:t>
            </w:r>
          </w:p>
        </w:tc>
        <w:tc>
          <w:tcPr>
            <w:tcW w:w="7195" w:type="dxa"/>
          </w:tcPr>
          <w:p w:rsidR="0064353A" w:rsidRDefault="0064353A" w:rsidP="006472B8">
            <w:pPr>
              <w:pStyle w:val="rgtart1p"/>
              <w:numPr>
                <w:ilvl w:val="0"/>
                <w:numId w:val="6"/>
              </w:numPr>
              <w:tabs>
                <w:tab w:val="left" w:pos="531"/>
              </w:tabs>
              <w:spacing w:after="240"/>
              <w:rPr>
                <w:sz w:val="22"/>
              </w:rPr>
            </w:pPr>
            <w:r>
              <w:rPr>
                <w:sz w:val="22"/>
                <w:vertAlign w:val="superscript"/>
              </w:rPr>
              <w:t>1</w:t>
            </w:r>
            <w:r>
              <w:rPr>
                <w:sz w:val="22"/>
              </w:rPr>
              <w:t>Le Conseil général de la nouvelle commune est élu selon le système de la représentation proportionnelle, à raison d'un membre par 50 habitants, toute fraction de 25 habitants et plus comptant pour 50.</w:t>
            </w:r>
          </w:p>
        </w:tc>
      </w:tr>
      <w:tr w:rsidR="0064353A">
        <w:trPr>
          <w:cantSplit/>
        </w:trPr>
        <w:tc>
          <w:tcPr>
            <w:tcW w:w="2518" w:type="dxa"/>
          </w:tcPr>
          <w:p w:rsidR="0064353A" w:rsidRDefault="0064353A">
            <w:pPr>
              <w:pStyle w:val="rgtartxp"/>
              <w:jc w:val="left"/>
            </w:pPr>
          </w:p>
        </w:tc>
        <w:tc>
          <w:tcPr>
            <w:tcW w:w="7195" w:type="dxa"/>
          </w:tcPr>
          <w:p w:rsidR="0064353A" w:rsidRDefault="0064353A">
            <w:pPr>
              <w:pStyle w:val="rgtartxp"/>
            </w:pPr>
            <w:r>
              <w:rPr>
                <w:vertAlign w:val="superscript"/>
              </w:rPr>
              <w:t>2</w:t>
            </w:r>
            <w:r>
              <w:t>Si le chiffre de la population, déterminé par l'avant-dernier recensement cantonal, donne pour le Conseil général un nombre pair, ce nombre est augmenté d'une unité.</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3</w:t>
            </w:r>
            <w:r>
              <w:t>Le nombre de sièges au Conseil général ne peut excéder 41 ni être inférieur à 15.</w:t>
            </w:r>
          </w:p>
        </w:tc>
      </w:tr>
      <w:tr w:rsidR="0064353A">
        <w:trPr>
          <w:cantSplit/>
        </w:trPr>
        <w:tc>
          <w:tcPr>
            <w:tcW w:w="2518" w:type="dxa"/>
          </w:tcPr>
          <w:p w:rsidR="0064353A" w:rsidRDefault="0064353A">
            <w:pPr>
              <w:pStyle w:val="rgtart1p"/>
              <w:spacing w:after="0"/>
              <w:jc w:val="left"/>
              <w:rPr>
                <w:sz w:val="22"/>
              </w:rPr>
            </w:pPr>
            <w:r>
              <w:rPr>
                <w:sz w:val="22"/>
              </w:rPr>
              <w:t>Conseil général</w:t>
            </w:r>
          </w:p>
          <w:p w:rsidR="0064353A" w:rsidRDefault="0064353A">
            <w:pPr>
              <w:pStyle w:val="rgtart1p"/>
              <w:spacing w:after="0"/>
              <w:jc w:val="left"/>
              <w:rPr>
                <w:b/>
                <w:bCs/>
                <w:i/>
                <w:iCs/>
                <w:sz w:val="20"/>
              </w:rPr>
            </w:pPr>
            <w:r>
              <w:rPr>
                <w:b/>
                <w:bCs/>
                <w:i/>
                <w:iCs/>
                <w:sz w:val="20"/>
              </w:rPr>
              <w:t>Sous-variante 1</w:t>
            </w:r>
          </w:p>
          <w:p w:rsidR="0064353A" w:rsidRDefault="0064353A">
            <w:pPr>
              <w:pStyle w:val="rgtart1p"/>
              <w:spacing w:after="0"/>
              <w:jc w:val="left"/>
              <w:rPr>
                <w:b/>
                <w:bCs/>
                <w:i/>
                <w:iCs/>
                <w:sz w:val="22"/>
              </w:rPr>
            </w:pPr>
            <w:r>
              <w:rPr>
                <w:b/>
                <w:bCs/>
                <w:i/>
                <w:iCs/>
                <w:sz w:val="20"/>
              </w:rPr>
              <w:t>Nombre réduit</w:t>
            </w:r>
          </w:p>
        </w:tc>
        <w:tc>
          <w:tcPr>
            <w:tcW w:w="7195" w:type="dxa"/>
          </w:tcPr>
          <w:p w:rsidR="0064353A" w:rsidRDefault="0064353A" w:rsidP="006472B8">
            <w:pPr>
              <w:pStyle w:val="rgtartxp"/>
              <w:numPr>
                <w:ilvl w:val="0"/>
                <w:numId w:val="19"/>
              </w:numPr>
              <w:tabs>
                <w:tab w:val="clear" w:pos="360"/>
                <w:tab w:val="left" w:pos="531"/>
              </w:tabs>
              <w:spacing w:after="0"/>
            </w:pPr>
            <w:r>
              <w:rPr>
                <w:vertAlign w:val="superscript"/>
              </w:rPr>
              <w:t>1</w:t>
            </w:r>
            <w:r>
              <w:t>Le Conseil général est élu selon le système de la représentation proportionnelle.</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2</w:t>
            </w:r>
            <w:r>
              <w:t>En application de l'article 90 alinéa 3 de la loi sur les droits politiques (LDP), du 17 octobre 1984 (RSN 141), le Conseil général est composé d'un nombre de sièges réduit de</w:t>
            </w:r>
            <w:proofErr w:type="gramStart"/>
            <w:r>
              <w:t xml:space="preserve"> ..</w:t>
            </w:r>
            <w:proofErr w:type="gramEnd"/>
            <w:r>
              <w:t xml:space="preserve"> (</w:t>
            </w:r>
            <w:r>
              <w:rPr>
                <w:i/>
                <w:iCs/>
              </w:rPr>
              <w:t>maximum: 10</w:t>
            </w:r>
            <w:r>
              <w:t>), fixé à …</w:t>
            </w:r>
          </w:p>
        </w:tc>
      </w:tr>
      <w:tr w:rsidR="0064353A">
        <w:trPr>
          <w:cantSplit/>
        </w:trPr>
        <w:tc>
          <w:tcPr>
            <w:tcW w:w="2518" w:type="dxa"/>
          </w:tcPr>
          <w:p w:rsidR="0064353A" w:rsidRDefault="0064353A">
            <w:pPr>
              <w:pStyle w:val="rgtart1p"/>
              <w:spacing w:after="0"/>
              <w:jc w:val="left"/>
              <w:rPr>
                <w:sz w:val="22"/>
              </w:rPr>
            </w:pPr>
            <w:r>
              <w:rPr>
                <w:sz w:val="22"/>
              </w:rPr>
              <w:t>Conseil général</w:t>
            </w:r>
          </w:p>
          <w:p w:rsidR="0064353A" w:rsidRDefault="0064353A">
            <w:pPr>
              <w:pStyle w:val="rgtart1p"/>
              <w:spacing w:after="0"/>
              <w:jc w:val="left"/>
              <w:rPr>
                <w:sz w:val="20"/>
              </w:rPr>
            </w:pPr>
            <w:r>
              <w:rPr>
                <w:b/>
                <w:bCs/>
                <w:i/>
                <w:iCs/>
                <w:sz w:val="20"/>
              </w:rPr>
              <w:t>Variante 2</w:t>
            </w:r>
          </w:p>
          <w:p w:rsidR="0064353A" w:rsidRDefault="0064353A">
            <w:pPr>
              <w:pStyle w:val="rgtart1p"/>
              <w:spacing w:after="0"/>
              <w:jc w:val="left"/>
              <w:rPr>
                <w:b/>
                <w:bCs/>
                <w:i/>
                <w:iCs/>
                <w:sz w:val="22"/>
              </w:rPr>
            </w:pPr>
            <w:r>
              <w:rPr>
                <w:b/>
                <w:bCs/>
                <w:i/>
                <w:iCs/>
                <w:sz w:val="20"/>
              </w:rPr>
              <w:t>(seulement pour les communes de moins de 750 habitants)</w:t>
            </w:r>
          </w:p>
        </w:tc>
        <w:tc>
          <w:tcPr>
            <w:tcW w:w="7195" w:type="dxa"/>
          </w:tcPr>
          <w:p w:rsidR="0064353A" w:rsidRDefault="0064353A" w:rsidP="006472B8">
            <w:pPr>
              <w:pStyle w:val="rgtartxp"/>
              <w:numPr>
                <w:ilvl w:val="0"/>
                <w:numId w:val="24"/>
              </w:numPr>
              <w:tabs>
                <w:tab w:val="clear" w:pos="360"/>
                <w:tab w:val="left" w:pos="531"/>
              </w:tabs>
              <w:spacing w:after="0"/>
            </w:pPr>
            <w:r>
              <w:rPr>
                <w:vertAlign w:val="superscript"/>
              </w:rPr>
              <w:t>1</w:t>
            </w:r>
            <w:r>
              <w:t>Le Conseil général de la nouvelle commune est élu selon le système majoritaire à un tour à raison d'un membre par 50 habitants, toute fraction de 25 habitants et plus comptant pour 50.</w:t>
            </w:r>
          </w:p>
        </w:tc>
      </w:tr>
      <w:tr w:rsidR="0064353A">
        <w:trPr>
          <w:cantSplit/>
        </w:trPr>
        <w:tc>
          <w:tcPr>
            <w:tcW w:w="2518" w:type="dxa"/>
          </w:tcPr>
          <w:p w:rsidR="0064353A" w:rsidRDefault="0064353A">
            <w:pPr>
              <w:pStyle w:val="rgtartxp"/>
              <w:jc w:val="left"/>
            </w:pPr>
          </w:p>
        </w:tc>
        <w:tc>
          <w:tcPr>
            <w:tcW w:w="7195" w:type="dxa"/>
          </w:tcPr>
          <w:p w:rsidR="0064353A" w:rsidRDefault="0064353A">
            <w:pPr>
              <w:pStyle w:val="rgtartxp"/>
            </w:pPr>
            <w:r>
              <w:rPr>
                <w:vertAlign w:val="superscript"/>
              </w:rPr>
              <w:t>2</w:t>
            </w:r>
            <w:r>
              <w:t>Si le chiffre de la population, déterminé par l'avant-dernier recensement cantonal, donne pour le Conseil général un nombre pair, ce nombre est augmenté d'une unité.</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3</w:t>
            </w:r>
            <w:r>
              <w:t>Le nombre de sièges au Conseil général ne peut excéder 41 ni être inférieur à 15.</w:t>
            </w:r>
          </w:p>
        </w:tc>
      </w:tr>
      <w:tr w:rsidR="0064353A">
        <w:trPr>
          <w:cantSplit/>
        </w:trPr>
        <w:tc>
          <w:tcPr>
            <w:tcW w:w="2518" w:type="dxa"/>
          </w:tcPr>
          <w:p w:rsidR="0064353A" w:rsidRDefault="0064353A">
            <w:pPr>
              <w:pStyle w:val="rgtart1p"/>
              <w:spacing w:after="0"/>
              <w:jc w:val="left"/>
              <w:rPr>
                <w:sz w:val="22"/>
              </w:rPr>
            </w:pPr>
            <w:r>
              <w:rPr>
                <w:sz w:val="22"/>
              </w:rPr>
              <w:t>Conseil général</w:t>
            </w:r>
          </w:p>
          <w:p w:rsidR="0064353A" w:rsidRDefault="0064353A">
            <w:pPr>
              <w:pStyle w:val="rgtart1p"/>
              <w:spacing w:after="0"/>
              <w:jc w:val="left"/>
              <w:rPr>
                <w:b/>
                <w:bCs/>
                <w:i/>
                <w:iCs/>
                <w:sz w:val="20"/>
              </w:rPr>
            </w:pPr>
            <w:r>
              <w:rPr>
                <w:b/>
                <w:bCs/>
                <w:i/>
                <w:iCs/>
                <w:sz w:val="20"/>
              </w:rPr>
              <w:t>Sous-variante 2</w:t>
            </w:r>
          </w:p>
          <w:p w:rsidR="0064353A" w:rsidRDefault="0064353A">
            <w:pPr>
              <w:pStyle w:val="rgtart1p"/>
              <w:spacing w:after="0"/>
              <w:jc w:val="left"/>
              <w:rPr>
                <w:b/>
                <w:bCs/>
                <w:i/>
                <w:iCs/>
                <w:sz w:val="22"/>
              </w:rPr>
            </w:pPr>
            <w:r>
              <w:rPr>
                <w:b/>
                <w:bCs/>
                <w:i/>
                <w:iCs/>
                <w:sz w:val="20"/>
              </w:rPr>
              <w:t>Nombre réduit</w:t>
            </w:r>
          </w:p>
        </w:tc>
        <w:tc>
          <w:tcPr>
            <w:tcW w:w="7195" w:type="dxa"/>
          </w:tcPr>
          <w:p w:rsidR="0064353A" w:rsidRDefault="0064353A" w:rsidP="006472B8">
            <w:pPr>
              <w:pStyle w:val="rgtartxp"/>
              <w:numPr>
                <w:ilvl w:val="0"/>
                <w:numId w:val="25"/>
              </w:numPr>
              <w:tabs>
                <w:tab w:val="clear" w:pos="360"/>
                <w:tab w:val="left" w:pos="531"/>
              </w:tabs>
              <w:spacing w:after="0"/>
            </w:pPr>
            <w:r>
              <w:rPr>
                <w:vertAlign w:val="superscript"/>
              </w:rPr>
              <w:t>1</w:t>
            </w:r>
            <w:r>
              <w:t>Le Conseil général est élu selon le système majoritaire à un tour.</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2</w:t>
            </w:r>
            <w:r>
              <w:t>En application de l'article 90 alinéa 6 LDP, le Conseil général est composé d'un nombre de sièges réduit de</w:t>
            </w:r>
            <w:proofErr w:type="gramStart"/>
            <w:r>
              <w:t xml:space="preserve"> ..</w:t>
            </w:r>
            <w:proofErr w:type="gramEnd"/>
            <w:r>
              <w:t xml:space="preserve"> (</w:t>
            </w:r>
            <w:r>
              <w:rPr>
                <w:i/>
                <w:iCs/>
              </w:rPr>
              <w:t>maximum: 10</w:t>
            </w:r>
            <w:r>
              <w:t>), fixé à …</w:t>
            </w:r>
          </w:p>
        </w:tc>
      </w:tr>
      <w:tr w:rsidR="0064353A">
        <w:trPr>
          <w:cantSplit/>
        </w:trPr>
        <w:tc>
          <w:tcPr>
            <w:tcW w:w="2518" w:type="dxa"/>
          </w:tcPr>
          <w:p w:rsidR="0064353A" w:rsidRDefault="0064353A">
            <w:pPr>
              <w:pStyle w:val="rgtartxp"/>
              <w:spacing w:after="0"/>
              <w:jc w:val="left"/>
            </w:pPr>
            <w:r>
              <w:t>Garantie d'un siège</w:t>
            </w:r>
          </w:p>
          <w:p w:rsidR="0064353A" w:rsidRDefault="0064353A">
            <w:pPr>
              <w:pStyle w:val="rgtartxp"/>
              <w:spacing w:after="480"/>
              <w:jc w:val="left"/>
              <w:rPr>
                <w:b/>
                <w:bCs/>
                <w:i/>
                <w:iCs/>
                <w:sz w:val="20"/>
              </w:rPr>
            </w:pPr>
            <w:r>
              <w:rPr>
                <w:b/>
                <w:bCs/>
                <w:sz w:val="20"/>
              </w:rPr>
              <w:t>(</w:t>
            </w:r>
            <w:r>
              <w:rPr>
                <w:b/>
                <w:bCs/>
                <w:i/>
                <w:iCs/>
                <w:sz w:val="20"/>
              </w:rPr>
              <w:t>pour les communes</w:t>
            </w:r>
            <w:r>
              <w:rPr>
                <w:b/>
                <w:bCs/>
                <w:i/>
                <w:iCs/>
                <w:sz w:val="20"/>
              </w:rPr>
              <w:br/>
              <w:t>qui le souhaitent</w:t>
            </w:r>
            <w:r>
              <w:rPr>
                <w:b/>
                <w:bCs/>
                <w:sz w:val="20"/>
              </w:rPr>
              <w:t>)</w:t>
            </w:r>
          </w:p>
        </w:tc>
        <w:tc>
          <w:tcPr>
            <w:tcW w:w="7195" w:type="dxa"/>
          </w:tcPr>
          <w:p w:rsidR="0064353A" w:rsidRDefault="0064353A" w:rsidP="006472B8">
            <w:pPr>
              <w:pStyle w:val="rgtartxp"/>
              <w:numPr>
                <w:ilvl w:val="0"/>
                <w:numId w:val="7"/>
              </w:numPr>
              <w:tabs>
                <w:tab w:val="clear" w:pos="360"/>
                <w:tab w:val="num" w:pos="531"/>
              </w:tabs>
              <w:spacing w:after="480"/>
            </w:pPr>
            <w:r>
              <w:t>Depuis le 1</w:t>
            </w:r>
            <w:r>
              <w:rPr>
                <w:vertAlign w:val="superscript"/>
              </w:rPr>
              <w:t>er</w:t>
            </w:r>
            <w:r>
              <w:t xml:space="preserve"> janvier </w:t>
            </w:r>
            <w:proofErr w:type="gramStart"/>
            <w:r>
              <w:t>20..</w:t>
            </w:r>
            <w:proofErr w:type="gramEnd"/>
            <w:r>
              <w:t xml:space="preserve"> (</w:t>
            </w:r>
            <w:r>
              <w:rPr>
                <w:i/>
                <w:iCs/>
              </w:rPr>
              <w:t>date de la fusion</w:t>
            </w:r>
            <w:r>
              <w:t>) jusqu'à la fin de la législature 20</w:t>
            </w:r>
            <w:r w:rsidR="00F27654">
              <w:t>..</w:t>
            </w:r>
            <w:r>
              <w:t>-20</w:t>
            </w:r>
            <w:r w:rsidR="00F27654">
              <w:t>.. (</w:t>
            </w:r>
            <w:r w:rsidR="00F27654" w:rsidRPr="00F27654">
              <w:rPr>
                <w:i/>
              </w:rPr>
              <w:t>législature en cours</w:t>
            </w:r>
            <w:r w:rsidR="00F27654">
              <w:rPr>
                <w:i/>
              </w:rPr>
              <w:t>, mais peut éventuellement être prolongée à la fin de la législature suivante</w:t>
            </w:r>
            <w:r w:rsidR="00F27654">
              <w:t>)</w:t>
            </w:r>
            <w:r>
              <w:t>, les anciennes communes bénéficient de la garantie d'un siège au Conseil général, au sens de l'article 95f LDP.</w:t>
            </w:r>
          </w:p>
        </w:tc>
      </w:tr>
      <w:tr w:rsidR="0064353A">
        <w:trPr>
          <w:cantSplit/>
        </w:trPr>
        <w:tc>
          <w:tcPr>
            <w:tcW w:w="2518" w:type="dxa"/>
          </w:tcPr>
          <w:p w:rsidR="0064353A" w:rsidRDefault="0064353A">
            <w:pPr>
              <w:pStyle w:val="rgtart1p"/>
              <w:spacing w:after="0"/>
              <w:jc w:val="left"/>
              <w:rPr>
                <w:sz w:val="22"/>
              </w:rPr>
            </w:pPr>
            <w:r>
              <w:rPr>
                <w:sz w:val="22"/>
              </w:rPr>
              <w:lastRenderedPageBreak/>
              <w:t>Conseil communal</w:t>
            </w:r>
          </w:p>
          <w:p w:rsidR="0064353A" w:rsidRDefault="0064353A">
            <w:pPr>
              <w:pStyle w:val="rgtart1p"/>
              <w:spacing w:after="0"/>
              <w:jc w:val="left"/>
              <w:rPr>
                <w:b/>
                <w:bCs/>
                <w:i/>
                <w:iCs/>
                <w:sz w:val="20"/>
              </w:rPr>
            </w:pPr>
            <w:r>
              <w:rPr>
                <w:b/>
                <w:bCs/>
                <w:i/>
                <w:iCs/>
                <w:sz w:val="20"/>
              </w:rPr>
              <w:t>Variante 1</w:t>
            </w:r>
          </w:p>
        </w:tc>
        <w:tc>
          <w:tcPr>
            <w:tcW w:w="7195" w:type="dxa"/>
          </w:tcPr>
          <w:p w:rsidR="0064353A" w:rsidRDefault="0064353A" w:rsidP="006472B8">
            <w:pPr>
              <w:pStyle w:val="rgtart1p"/>
              <w:numPr>
                <w:ilvl w:val="0"/>
                <w:numId w:val="8"/>
              </w:numPr>
              <w:tabs>
                <w:tab w:val="clear" w:pos="360"/>
                <w:tab w:val="num" w:pos="531"/>
              </w:tabs>
              <w:rPr>
                <w:sz w:val="22"/>
              </w:rPr>
            </w:pPr>
            <w:r>
              <w:rPr>
                <w:sz w:val="22"/>
              </w:rPr>
              <w:t>Le Conseil communal de la nouvelle commune est composé de</w:t>
            </w:r>
            <w:proofErr w:type="gramStart"/>
            <w:r>
              <w:rPr>
                <w:sz w:val="22"/>
              </w:rPr>
              <w:t xml:space="preserve"> ..</w:t>
            </w:r>
            <w:proofErr w:type="gramEnd"/>
            <w:r>
              <w:rPr>
                <w:sz w:val="22"/>
              </w:rPr>
              <w:t xml:space="preserve"> membres (3, 5 ou 7), élus par le Conseil général de la nouvelle commune au scrutin secret, à la majorité absolue ou tacitement.</w:t>
            </w:r>
          </w:p>
        </w:tc>
      </w:tr>
      <w:tr w:rsidR="0064353A">
        <w:trPr>
          <w:cantSplit/>
        </w:trPr>
        <w:tc>
          <w:tcPr>
            <w:tcW w:w="2518" w:type="dxa"/>
          </w:tcPr>
          <w:p w:rsidR="0064353A" w:rsidRDefault="0064353A">
            <w:pPr>
              <w:pStyle w:val="rgtart1p"/>
              <w:spacing w:after="0"/>
              <w:jc w:val="left"/>
              <w:rPr>
                <w:sz w:val="22"/>
              </w:rPr>
            </w:pPr>
            <w:r>
              <w:rPr>
                <w:sz w:val="22"/>
              </w:rPr>
              <w:t>Conseil communal</w:t>
            </w:r>
          </w:p>
          <w:p w:rsidR="0064353A" w:rsidRDefault="0064353A">
            <w:pPr>
              <w:pStyle w:val="rgtart1p"/>
              <w:spacing w:after="240"/>
              <w:jc w:val="left"/>
              <w:rPr>
                <w:b/>
                <w:bCs/>
                <w:i/>
                <w:iCs/>
                <w:sz w:val="20"/>
              </w:rPr>
            </w:pPr>
            <w:r>
              <w:rPr>
                <w:b/>
                <w:bCs/>
                <w:i/>
                <w:iCs/>
                <w:sz w:val="20"/>
              </w:rPr>
              <w:t>Variante 2</w:t>
            </w:r>
          </w:p>
        </w:tc>
        <w:tc>
          <w:tcPr>
            <w:tcW w:w="7195" w:type="dxa"/>
          </w:tcPr>
          <w:p w:rsidR="0064353A" w:rsidRDefault="0064353A" w:rsidP="006472B8">
            <w:pPr>
              <w:pStyle w:val="rgtart1p"/>
              <w:numPr>
                <w:ilvl w:val="0"/>
                <w:numId w:val="20"/>
              </w:numPr>
              <w:tabs>
                <w:tab w:val="clear" w:pos="360"/>
                <w:tab w:val="left" w:pos="531"/>
              </w:tabs>
              <w:spacing w:after="240"/>
              <w:rPr>
                <w:sz w:val="22"/>
              </w:rPr>
            </w:pPr>
            <w:r>
              <w:rPr>
                <w:sz w:val="22"/>
                <w:vertAlign w:val="superscript"/>
              </w:rPr>
              <w:t>1</w:t>
            </w:r>
            <w:r>
              <w:rPr>
                <w:sz w:val="22"/>
              </w:rPr>
              <w:t>Le Conseil communal de la nouvelle commune est composé de</w:t>
            </w:r>
            <w:proofErr w:type="gramStart"/>
            <w:r>
              <w:rPr>
                <w:sz w:val="22"/>
              </w:rPr>
              <w:t xml:space="preserve"> ..</w:t>
            </w:r>
            <w:proofErr w:type="gramEnd"/>
            <w:r>
              <w:rPr>
                <w:sz w:val="22"/>
              </w:rPr>
              <w:t xml:space="preserve"> membres (3, 5 ou 7).</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2</w:t>
            </w:r>
            <w:r>
              <w:t>Il est élu par le peuple selon le système de la représentation proportionnelle.</w:t>
            </w:r>
          </w:p>
        </w:tc>
      </w:tr>
      <w:tr w:rsidR="0064353A">
        <w:trPr>
          <w:cantSplit/>
        </w:trPr>
        <w:tc>
          <w:tcPr>
            <w:tcW w:w="2518" w:type="dxa"/>
          </w:tcPr>
          <w:p w:rsidR="0064353A" w:rsidRDefault="0064353A">
            <w:pPr>
              <w:pStyle w:val="rgtart1p"/>
              <w:spacing w:after="0"/>
              <w:jc w:val="left"/>
              <w:rPr>
                <w:sz w:val="22"/>
              </w:rPr>
            </w:pPr>
            <w:r>
              <w:rPr>
                <w:sz w:val="22"/>
              </w:rPr>
              <w:t>Conseil communal</w:t>
            </w:r>
          </w:p>
          <w:p w:rsidR="0064353A" w:rsidRDefault="0064353A">
            <w:pPr>
              <w:pStyle w:val="rgtart1p"/>
              <w:spacing w:after="240"/>
              <w:jc w:val="left"/>
              <w:rPr>
                <w:b/>
                <w:bCs/>
                <w:i/>
                <w:iCs/>
                <w:sz w:val="20"/>
              </w:rPr>
            </w:pPr>
            <w:r>
              <w:rPr>
                <w:b/>
                <w:bCs/>
                <w:i/>
                <w:iCs/>
                <w:sz w:val="20"/>
              </w:rPr>
              <w:t>Variante 3</w:t>
            </w:r>
          </w:p>
        </w:tc>
        <w:tc>
          <w:tcPr>
            <w:tcW w:w="7195" w:type="dxa"/>
          </w:tcPr>
          <w:p w:rsidR="0064353A" w:rsidRDefault="0064353A" w:rsidP="006472B8">
            <w:pPr>
              <w:pStyle w:val="rgtart1p"/>
              <w:numPr>
                <w:ilvl w:val="0"/>
                <w:numId w:val="21"/>
              </w:numPr>
              <w:tabs>
                <w:tab w:val="clear" w:pos="360"/>
                <w:tab w:val="left" w:pos="531"/>
              </w:tabs>
              <w:spacing w:after="240"/>
              <w:rPr>
                <w:sz w:val="22"/>
              </w:rPr>
            </w:pPr>
            <w:r>
              <w:rPr>
                <w:sz w:val="22"/>
                <w:vertAlign w:val="superscript"/>
              </w:rPr>
              <w:t>1</w:t>
            </w:r>
            <w:r>
              <w:rPr>
                <w:sz w:val="22"/>
              </w:rPr>
              <w:t>Le Conseil communal de la nouvelle commune est composé de</w:t>
            </w:r>
            <w:proofErr w:type="gramStart"/>
            <w:r>
              <w:rPr>
                <w:sz w:val="22"/>
              </w:rPr>
              <w:t xml:space="preserve"> ..</w:t>
            </w:r>
            <w:proofErr w:type="gramEnd"/>
            <w:r>
              <w:rPr>
                <w:sz w:val="22"/>
              </w:rPr>
              <w:t xml:space="preserve"> membres (3, 5 ou 7).</w:t>
            </w:r>
          </w:p>
        </w:tc>
      </w:tr>
      <w:tr w:rsidR="0064353A">
        <w:trPr>
          <w:cantSplit/>
        </w:trPr>
        <w:tc>
          <w:tcPr>
            <w:tcW w:w="2518" w:type="dxa"/>
          </w:tcPr>
          <w:p w:rsidR="0064353A" w:rsidRDefault="0064353A">
            <w:pPr>
              <w:pStyle w:val="rgtartxp"/>
              <w:spacing w:after="480"/>
              <w:jc w:val="left"/>
            </w:pPr>
          </w:p>
        </w:tc>
        <w:tc>
          <w:tcPr>
            <w:tcW w:w="7195" w:type="dxa"/>
          </w:tcPr>
          <w:p w:rsidR="0064353A" w:rsidRDefault="0064353A">
            <w:pPr>
              <w:pStyle w:val="rgtartxp"/>
              <w:spacing w:after="480"/>
            </w:pPr>
            <w:r>
              <w:rPr>
                <w:vertAlign w:val="superscript"/>
              </w:rPr>
              <w:t>2</w:t>
            </w:r>
            <w:r>
              <w:t>Il est élu par le peuple selon le système du scrutin majoritaire à deux tours.</w:t>
            </w:r>
          </w:p>
        </w:tc>
      </w:tr>
      <w:tr w:rsidR="0064353A">
        <w:trPr>
          <w:cantSplit/>
        </w:trPr>
        <w:tc>
          <w:tcPr>
            <w:tcW w:w="2518" w:type="dxa"/>
          </w:tcPr>
          <w:p w:rsidR="0064353A" w:rsidRDefault="0064353A">
            <w:pPr>
              <w:pStyle w:val="rgtartxp"/>
              <w:jc w:val="left"/>
            </w:pPr>
            <w:proofErr w:type="spellStart"/>
            <w:r>
              <w:t>Elections</w:t>
            </w:r>
            <w:proofErr w:type="spellEnd"/>
          </w:p>
        </w:tc>
        <w:tc>
          <w:tcPr>
            <w:tcW w:w="7195" w:type="dxa"/>
          </w:tcPr>
          <w:p w:rsidR="0064353A" w:rsidRDefault="0064353A" w:rsidP="006472B8">
            <w:pPr>
              <w:pStyle w:val="rgtartxp"/>
              <w:numPr>
                <w:ilvl w:val="0"/>
                <w:numId w:val="21"/>
              </w:numPr>
              <w:tabs>
                <w:tab w:val="clear" w:pos="360"/>
                <w:tab w:val="num" w:pos="529"/>
              </w:tabs>
            </w:pPr>
            <w:r>
              <w:rPr>
                <w:vertAlign w:val="superscript"/>
              </w:rPr>
              <w:t>1</w:t>
            </w:r>
            <w:r>
              <w:t>L'élection du Conseil général (</w:t>
            </w:r>
            <w:r>
              <w:rPr>
                <w:i/>
                <w:iCs/>
              </w:rPr>
              <w:t>variante: du Conseil général et du Conseil communal</w:t>
            </w:r>
            <w:r>
              <w:t>) de la nouvelle commune par le peuple est convoquée par le Conseil d'Etat, sur demande des anciennes communes.</w:t>
            </w:r>
          </w:p>
        </w:tc>
      </w:tr>
      <w:tr w:rsidR="0064353A">
        <w:trPr>
          <w:cantSplit/>
        </w:trPr>
        <w:tc>
          <w:tcPr>
            <w:tcW w:w="2518" w:type="dxa"/>
          </w:tcPr>
          <w:p w:rsidR="0064353A" w:rsidRDefault="0064353A">
            <w:pPr>
              <w:pStyle w:val="rgtartxp"/>
              <w:spacing w:after="480"/>
              <w:jc w:val="left"/>
              <w:rPr>
                <w:b/>
                <w:bCs/>
                <w:i/>
                <w:iCs/>
                <w:sz w:val="20"/>
              </w:rPr>
            </w:pPr>
            <w:r>
              <w:rPr>
                <w:b/>
                <w:bCs/>
                <w:i/>
                <w:iCs/>
                <w:sz w:val="20"/>
              </w:rPr>
              <w:t>Adjonction en cas de fusion au 1</w:t>
            </w:r>
            <w:r>
              <w:rPr>
                <w:b/>
                <w:bCs/>
                <w:i/>
                <w:iCs/>
                <w:sz w:val="20"/>
                <w:vertAlign w:val="superscript"/>
              </w:rPr>
              <w:t>er</w:t>
            </w:r>
            <w:r>
              <w:rPr>
                <w:b/>
                <w:bCs/>
                <w:i/>
                <w:iCs/>
                <w:sz w:val="20"/>
              </w:rPr>
              <w:t xml:space="preserve"> janvier qui précède ou suit les élections générales</w:t>
            </w:r>
          </w:p>
        </w:tc>
        <w:tc>
          <w:tcPr>
            <w:tcW w:w="7195" w:type="dxa"/>
          </w:tcPr>
          <w:p w:rsidR="0064353A" w:rsidRDefault="0064353A">
            <w:pPr>
              <w:pStyle w:val="rgtartxp"/>
              <w:spacing w:after="480"/>
            </w:pPr>
            <w:r>
              <w:rPr>
                <w:vertAlign w:val="superscript"/>
              </w:rPr>
              <w:t>2</w:t>
            </w:r>
            <w:r>
              <w:t>En application de l'article 37 alinéa 4 LDP, ces dernières requièrent l'autorisation d'avancer (</w:t>
            </w:r>
            <w:r>
              <w:rPr>
                <w:i/>
                <w:iCs/>
              </w:rPr>
              <w:t>sous-variante: de retarder</w:t>
            </w:r>
            <w:r>
              <w:t>) la date de l'élection générale, afin de permettre l'entrée en fonction des autorités au 1</w:t>
            </w:r>
            <w:r>
              <w:rPr>
                <w:vertAlign w:val="superscript"/>
              </w:rPr>
              <w:t>er</w:t>
            </w:r>
            <w:r>
              <w:t xml:space="preserve"> janvier 20…</w:t>
            </w:r>
          </w:p>
        </w:tc>
      </w:tr>
      <w:tr w:rsidR="0064353A">
        <w:trPr>
          <w:cantSplit/>
        </w:trPr>
        <w:tc>
          <w:tcPr>
            <w:tcW w:w="2518" w:type="dxa"/>
          </w:tcPr>
          <w:p w:rsidR="0064353A" w:rsidRDefault="0064353A">
            <w:pPr>
              <w:pStyle w:val="rgtartxp"/>
              <w:jc w:val="left"/>
            </w:pPr>
            <w:r>
              <w:t>Transfert des pouvoirs</w:t>
            </w:r>
          </w:p>
        </w:tc>
        <w:tc>
          <w:tcPr>
            <w:tcW w:w="7195" w:type="dxa"/>
          </w:tcPr>
          <w:p w:rsidR="0064353A" w:rsidRDefault="0064353A" w:rsidP="006472B8">
            <w:pPr>
              <w:pStyle w:val="rgtartxp"/>
              <w:numPr>
                <w:ilvl w:val="0"/>
                <w:numId w:val="21"/>
              </w:numPr>
              <w:tabs>
                <w:tab w:val="clear" w:pos="360"/>
                <w:tab w:val="num" w:pos="529"/>
              </w:tabs>
            </w:pPr>
            <w:r>
              <w:rPr>
                <w:vertAlign w:val="superscript"/>
              </w:rPr>
              <w:t>1</w:t>
            </w:r>
            <w:r>
              <w:t>Les autorités des anciennes communes cessent leurs fonctions le 31 décembre 20…</w:t>
            </w:r>
          </w:p>
        </w:tc>
      </w:tr>
      <w:tr w:rsidR="0064353A">
        <w:trPr>
          <w:cantSplit/>
        </w:trPr>
        <w:tc>
          <w:tcPr>
            <w:tcW w:w="2518" w:type="dxa"/>
          </w:tcPr>
          <w:p w:rsidR="0064353A" w:rsidRDefault="0064353A">
            <w:pPr>
              <w:pStyle w:val="rgtartxp"/>
              <w:jc w:val="left"/>
              <w:rPr>
                <w:sz w:val="20"/>
              </w:rPr>
            </w:pPr>
          </w:p>
        </w:tc>
        <w:tc>
          <w:tcPr>
            <w:tcW w:w="7195" w:type="dxa"/>
          </w:tcPr>
          <w:p w:rsidR="0064353A" w:rsidRDefault="0064353A">
            <w:pPr>
              <w:pStyle w:val="rgtartxp"/>
            </w:pPr>
            <w:r>
              <w:rPr>
                <w:vertAlign w:val="superscript"/>
              </w:rPr>
              <w:t>2</w:t>
            </w:r>
            <w:r>
              <w:t>Les autorités de la nouvelle commune entrent en fonction le 1</w:t>
            </w:r>
            <w:r>
              <w:rPr>
                <w:vertAlign w:val="superscript"/>
              </w:rPr>
              <w:t>er</w:t>
            </w:r>
            <w:r>
              <w:t xml:space="preserve"> janvier 20…</w:t>
            </w:r>
          </w:p>
        </w:tc>
      </w:tr>
      <w:tr w:rsidR="0064353A">
        <w:trPr>
          <w:cantSplit/>
        </w:trPr>
        <w:tc>
          <w:tcPr>
            <w:tcW w:w="2518" w:type="dxa"/>
          </w:tcPr>
          <w:p w:rsidR="0064353A" w:rsidRDefault="0064353A">
            <w:pPr>
              <w:pStyle w:val="rgtartxp"/>
              <w:jc w:val="left"/>
              <w:rPr>
                <w:sz w:val="20"/>
              </w:rPr>
            </w:pPr>
          </w:p>
        </w:tc>
        <w:tc>
          <w:tcPr>
            <w:tcW w:w="7195" w:type="dxa"/>
          </w:tcPr>
          <w:p w:rsidR="0064353A" w:rsidRDefault="0064353A">
            <w:pPr>
              <w:pStyle w:val="rgtartxp"/>
              <w:spacing w:after="480"/>
            </w:pPr>
            <w:r>
              <w:rPr>
                <w:vertAlign w:val="superscript"/>
              </w:rPr>
              <w:t>3</w:t>
            </w:r>
            <w:r>
              <w:t>Après adoption de la convention de fusion par les populations concernées, les autorités de la nouvelle commune peuvent, une fois leur élection validée, se réunir mais les actes qu'elles adoptent et les décisions qu'elles prennent ne sont applicables qu'à partir du 1</w:t>
            </w:r>
            <w:r>
              <w:rPr>
                <w:vertAlign w:val="superscript"/>
              </w:rPr>
              <w:t>er</w:t>
            </w:r>
            <w:r>
              <w:t xml:space="preserve"> janvier 20…</w:t>
            </w:r>
          </w:p>
        </w:tc>
      </w:tr>
    </w:tbl>
    <w:p w:rsidR="0064353A" w:rsidRDefault="0064353A">
      <w:r>
        <w:rPr>
          <w:b/>
        </w:rPr>
        <w:br w:type="page"/>
      </w:r>
    </w:p>
    <w:tbl>
      <w:tblPr>
        <w:tblW w:w="0" w:type="auto"/>
        <w:tblInd w:w="-73" w:type="dxa"/>
        <w:tblLayout w:type="fixed"/>
        <w:tblCellMar>
          <w:left w:w="70" w:type="dxa"/>
          <w:right w:w="70" w:type="dxa"/>
        </w:tblCellMar>
        <w:tblLook w:val="0000" w:firstRow="0" w:lastRow="0" w:firstColumn="0" w:lastColumn="0" w:noHBand="0" w:noVBand="0"/>
      </w:tblPr>
      <w:tblGrid>
        <w:gridCol w:w="2518"/>
        <w:gridCol w:w="2161"/>
        <w:gridCol w:w="5034"/>
      </w:tblGrid>
      <w:tr w:rsidR="0064353A">
        <w:trPr>
          <w:cantSplit/>
        </w:trPr>
        <w:tc>
          <w:tcPr>
            <w:tcW w:w="9713" w:type="dxa"/>
            <w:gridSpan w:val="3"/>
          </w:tcPr>
          <w:p w:rsidR="0064353A" w:rsidRDefault="0064353A">
            <w:pPr>
              <w:pStyle w:val="rgtchapn"/>
              <w:spacing w:after="720"/>
            </w:pPr>
            <w:r>
              <w:t>Chapitre 3</w:t>
            </w:r>
          </w:p>
        </w:tc>
      </w:tr>
      <w:tr w:rsidR="0064353A">
        <w:trPr>
          <w:cantSplit/>
        </w:trPr>
        <w:tc>
          <w:tcPr>
            <w:tcW w:w="9713" w:type="dxa"/>
            <w:gridSpan w:val="3"/>
          </w:tcPr>
          <w:p w:rsidR="0064353A" w:rsidRDefault="0064353A" w:rsidP="006472B8">
            <w:pPr>
              <w:pStyle w:val="rgtcont"/>
              <w:numPr>
                <w:ilvl w:val="0"/>
                <w:numId w:val="9"/>
              </w:numPr>
            </w:pPr>
            <w:r>
              <w:t>FINANCES ET FISCALITE</w:t>
            </w:r>
          </w:p>
        </w:tc>
      </w:tr>
      <w:tr w:rsidR="0064353A">
        <w:trPr>
          <w:cantSplit/>
        </w:trPr>
        <w:tc>
          <w:tcPr>
            <w:tcW w:w="2518" w:type="dxa"/>
          </w:tcPr>
          <w:p w:rsidR="0064353A" w:rsidRDefault="0064353A">
            <w:pPr>
              <w:pStyle w:val="rgtartxp"/>
              <w:jc w:val="left"/>
            </w:pPr>
            <w:r>
              <w:t>Comptes des anciennes communes</w:t>
            </w:r>
          </w:p>
        </w:tc>
        <w:tc>
          <w:tcPr>
            <w:tcW w:w="7195" w:type="dxa"/>
            <w:gridSpan w:val="2"/>
          </w:tcPr>
          <w:p w:rsidR="0064353A" w:rsidRDefault="0064353A" w:rsidP="006472B8">
            <w:pPr>
              <w:pStyle w:val="rgtartxp"/>
              <w:numPr>
                <w:ilvl w:val="0"/>
                <w:numId w:val="10"/>
              </w:numPr>
            </w:pPr>
            <w:r>
              <w:rPr>
                <w:vertAlign w:val="superscript"/>
              </w:rPr>
              <w:t>1</w:t>
            </w:r>
            <w:r>
              <w:t xml:space="preserve">Le bouclement des comptes </w:t>
            </w:r>
            <w:proofErr w:type="gramStart"/>
            <w:r>
              <w:t>20..</w:t>
            </w:r>
            <w:proofErr w:type="gramEnd"/>
            <w:r>
              <w:t xml:space="preserve"> des anciennes communes est effectué par la nouvelle commune.</w:t>
            </w:r>
          </w:p>
        </w:tc>
      </w:tr>
      <w:tr w:rsidR="0064353A">
        <w:trPr>
          <w:cantSplit/>
        </w:trPr>
        <w:tc>
          <w:tcPr>
            <w:tcW w:w="2518" w:type="dxa"/>
          </w:tcPr>
          <w:p w:rsidR="0064353A" w:rsidRDefault="0064353A">
            <w:pPr>
              <w:pStyle w:val="rgtartxp"/>
              <w:jc w:val="left"/>
              <w:rPr>
                <w:sz w:val="20"/>
              </w:rPr>
            </w:pPr>
          </w:p>
        </w:tc>
        <w:tc>
          <w:tcPr>
            <w:tcW w:w="7195" w:type="dxa"/>
            <w:gridSpan w:val="2"/>
          </w:tcPr>
          <w:p w:rsidR="0064353A" w:rsidRDefault="0064353A">
            <w:pPr>
              <w:pStyle w:val="rgtartxp"/>
            </w:pPr>
            <w:r>
              <w:rPr>
                <w:vertAlign w:val="superscript"/>
              </w:rPr>
              <w:t>2</w:t>
            </w:r>
            <w:r>
              <w:t xml:space="preserve"> Il en va de même pour les comptes des entités intercommunales qui sont dissoutes de plein droit lors de l'entrée en vigueur de la fusion.</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rPr>
                <w:sz w:val="22"/>
              </w:rPr>
            </w:pPr>
            <w:r>
              <w:rPr>
                <w:sz w:val="22"/>
                <w:vertAlign w:val="superscript"/>
              </w:rPr>
              <w:t>3</w:t>
            </w:r>
            <w:r>
              <w:rPr>
                <w:sz w:val="22"/>
              </w:rPr>
              <w:t>Ces comptes sont adoptés par le Conseil général de la nouvelle commune.</w:t>
            </w:r>
          </w:p>
        </w:tc>
      </w:tr>
      <w:tr w:rsidR="0064353A">
        <w:trPr>
          <w:cantSplit/>
        </w:trPr>
        <w:tc>
          <w:tcPr>
            <w:tcW w:w="2518" w:type="dxa"/>
          </w:tcPr>
          <w:p w:rsidR="0064353A" w:rsidRDefault="0064353A">
            <w:pPr>
              <w:pStyle w:val="rgtartxp"/>
              <w:jc w:val="left"/>
            </w:pPr>
            <w:r>
              <w:t>Budget prévisionnel</w:t>
            </w:r>
          </w:p>
        </w:tc>
        <w:tc>
          <w:tcPr>
            <w:tcW w:w="7195" w:type="dxa"/>
            <w:gridSpan w:val="2"/>
          </w:tcPr>
          <w:p w:rsidR="0064353A" w:rsidRDefault="0064353A" w:rsidP="006472B8">
            <w:pPr>
              <w:pStyle w:val="rgtartxp"/>
              <w:numPr>
                <w:ilvl w:val="0"/>
                <w:numId w:val="11"/>
              </w:numPr>
            </w:pPr>
            <w:r>
              <w:rPr>
                <w:vertAlign w:val="superscript"/>
              </w:rPr>
              <w:t>1</w:t>
            </w:r>
            <w:r>
              <w:t>Le budget prévisionnel de la nouvelle commune figure en annexe à la présente convention, dont il fait partie intégrante.</w:t>
            </w:r>
          </w:p>
        </w:tc>
      </w:tr>
      <w:tr w:rsidR="0064353A">
        <w:trPr>
          <w:cantSplit/>
        </w:trPr>
        <w:tc>
          <w:tcPr>
            <w:tcW w:w="2518" w:type="dxa"/>
          </w:tcPr>
          <w:p w:rsidR="0064353A" w:rsidRDefault="0064353A">
            <w:pPr>
              <w:pStyle w:val="rgtartxp"/>
              <w:jc w:val="left"/>
              <w:rPr>
                <w:sz w:val="20"/>
              </w:rPr>
            </w:pPr>
          </w:p>
        </w:tc>
        <w:tc>
          <w:tcPr>
            <w:tcW w:w="7195" w:type="dxa"/>
            <w:gridSpan w:val="2"/>
          </w:tcPr>
          <w:p w:rsidR="0064353A" w:rsidRDefault="0064353A">
            <w:pPr>
              <w:pStyle w:val="rgtartxp"/>
            </w:pPr>
            <w:r>
              <w:rPr>
                <w:vertAlign w:val="superscript"/>
              </w:rPr>
              <w:t>2</w:t>
            </w:r>
            <w:r>
              <w:t>Il comprend:</w:t>
            </w:r>
          </w:p>
        </w:tc>
      </w:tr>
      <w:tr w:rsidR="0064353A">
        <w:trPr>
          <w:cantSplit/>
        </w:trPr>
        <w:tc>
          <w:tcPr>
            <w:tcW w:w="2518" w:type="dxa"/>
          </w:tcPr>
          <w:p w:rsidR="0064353A" w:rsidRDefault="0064353A">
            <w:pPr>
              <w:pStyle w:val="rgtartxp"/>
              <w:jc w:val="left"/>
              <w:rPr>
                <w:sz w:val="20"/>
              </w:rPr>
            </w:pPr>
          </w:p>
        </w:tc>
        <w:tc>
          <w:tcPr>
            <w:tcW w:w="7195" w:type="dxa"/>
            <w:gridSpan w:val="2"/>
          </w:tcPr>
          <w:p w:rsidR="00315CD1" w:rsidRDefault="00315CD1" w:rsidP="00315CD1">
            <w:pPr>
              <w:tabs>
                <w:tab w:val="left" w:pos="4902"/>
                <w:tab w:val="center" w:pos="6910"/>
              </w:tabs>
              <w:spacing w:after="240"/>
              <w:ind w:hanging="1"/>
              <w:jc w:val="both"/>
            </w:pPr>
            <w:r>
              <w:t>a) le budget du compte de résultats qui se présente comme suit:</w:t>
            </w:r>
          </w:p>
          <w:p w:rsidR="00315CD1" w:rsidRDefault="00315CD1" w:rsidP="00315CD1">
            <w:pPr>
              <w:tabs>
                <w:tab w:val="left" w:pos="5067"/>
                <w:tab w:val="center" w:pos="6910"/>
                <w:tab w:val="left" w:pos="8505"/>
                <w:tab w:val="right" w:pos="9923"/>
              </w:tabs>
              <w:jc w:val="both"/>
            </w:pPr>
            <w:r>
              <w:t>Charges d'exploitation</w:t>
            </w:r>
            <w:r>
              <w:tab/>
              <w:t xml:space="preserve">Fr. </w:t>
            </w:r>
            <w:r>
              <w:tab/>
            </w:r>
          </w:p>
          <w:p w:rsidR="00315CD1" w:rsidRPr="005D4290" w:rsidRDefault="00315CD1" w:rsidP="00315CD1">
            <w:pPr>
              <w:tabs>
                <w:tab w:val="left" w:pos="5067"/>
                <w:tab w:val="center" w:pos="6910"/>
                <w:tab w:val="left" w:pos="8505"/>
                <w:tab w:val="right" w:pos="9923"/>
              </w:tabs>
              <w:jc w:val="both"/>
              <w:rPr>
                <w:u w:val="single"/>
              </w:rPr>
            </w:pPr>
            <w:r>
              <w:t>Revenus d'exploitation</w:t>
            </w:r>
            <w:r>
              <w:tab/>
            </w:r>
            <w:r w:rsidRPr="005D4290">
              <w:rPr>
                <w:u w:val="single"/>
              </w:rPr>
              <w:t xml:space="preserve">Fr. </w:t>
            </w:r>
            <w:r w:rsidRPr="005D4290">
              <w:rPr>
                <w:u w:val="single"/>
              </w:rPr>
              <w:tab/>
            </w:r>
          </w:p>
          <w:p w:rsidR="00315CD1" w:rsidRDefault="00315CD1" w:rsidP="00315CD1">
            <w:pPr>
              <w:tabs>
                <w:tab w:val="left" w:pos="5067"/>
                <w:tab w:val="center" w:pos="6910"/>
                <w:tab w:val="left" w:pos="8505"/>
                <w:tab w:val="right" w:pos="9923"/>
              </w:tabs>
              <w:jc w:val="both"/>
            </w:pPr>
            <w:r>
              <w:t>Résultat provenant des activités d'exploitation (1)</w:t>
            </w:r>
            <w:r>
              <w:tab/>
              <w:t xml:space="preserve">Fr. </w:t>
            </w:r>
            <w:r>
              <w:tab/>
            </w:r>
          </w:p>
          <w:p w:rsidR="00315CD1" w:rsidRDefault="00315CD1" w:rsidP="00315CD1">
            <w:pPr>
              <w:tabs>
                <w:tab w:val="left" w:pos="4902"/>
                <w:tab w:val="center" w:pos="6910"/>
                <w:tab w:val="left" w:pos="8505"/>
              </w:tabs>
              <w:jc w:val="both"/>
            </w:pPr>
          </w:p>
          <w:p w:rsidR="00315CD1" w:rsidRDefault="00315CD1" w:rsidP="00315CD1">
            <w:pPr>
              <w:tabs>
                <w:tab w:val="left" w:pos="5067"/>
                <w:tab w:val="center" w:pos="6910"/>
                <w:tab w:val="left" w:pos="8505"/>
                <w:tab w:val="right" w:pos="9923"/>
              </w:tabs>
              <w:jc w:val="both"/>
            </w:pPr>
            <w:r>
              <w:t>Charges financières</w:t>
            </w:r>
            <w:r>
              <w:tab/>
              <w:t>Fr.</w:t>
            </w:r>
            <w:r>
              <w:tab/>
            </w:r>
          </w:p>
          <w:p w:rsidR="00315CD1" w:rsidRPr="005D4290" w:rsidRDefault="00315CD1" w:rsidP="00315CD1">
            <w:pPr>
              <w:tabs>
                <w:tab w:val="left" w:pos="5067"/>
                <w:tab w:val="center" w:pos="6910"/>
                <w:tab w:val="left" w:pos="8505"/>
                <w:tab w:val="right" w:pos="9923"/>
              </w:tabs>
              <w:jc w:val="both"/>
              <w:rPr>
                <w:u w:val="single"/>
              </w:rPr>
            </w:pPr>
            <w:r>
              <w:t>Produits financiers</w:t>
            </w:r>
            <w:r>
              <w:tab/>
            </w:r>
            <w:r w:rsidRPr="005D4290">
              <w:rPr>
                <w:u w:val="single"/>
              </w:rPr>
              <w:t>Fr.</w:t>
            </w:r>
            <w:r w:rsidRPr="005D4290">
              <w:rPr>
                <w:u w:val="single"/>
              </w:rPr>
              <w:tab/>
            </w:r>
          </w:p>
          <w:p w:rsidR="00315CD1" w:rsidRDefault="00315CD1" w:rsidP="00315CD1">
            <w:pPr>
              <w:tabs>
                <w:tab w:val="left" w:pos="5067"/>
                <w:tab w:val="center" w:pos="6910"/>
                <w:tab w:val="left" w:pos="8505"/>
                <w:tab w:val="right" w:pos="9923"/>
              </w:tabs>
              <w:jc w:val="both"/>
            </w:pPr>
            <w:r>
              <w:t>Résultat provenant des financements (2)</w:t>
            </w:r>
            <w:r>
              <w:tab/>
              <w:t>Fr.</w:t>
            </w:r>
            <w:r>
              <w:tab/>
            </w:r>
          </w:p>
          <w:p w:rsidR="00315CD1" w:rsidRDefault="00315CD1" w:rsidP="00315CD1">
            <w:pPr>
              <w:tabs>
                <w:tab w:val="left" w:pos="4902"/>
                <w:tab w:val="center" w:pos="6910"/>
                <w:tab w:val="left" w:pos="8505"/>
              </w:tabs>
              <w:jc w:val="both"/>
            </w:pPr>
          </w:p>
          <w:p w:rsidR="00315CD1" w:rsidRPr="005D4290" w:rsidRDefault="00315CD1" w:rsidP="00315CD1">
            <w:pPr>
              <w:tabs>
                <w:tab w:val="left" w:pos="5067"/>
                <w:tab w:val="center" w:pos="6910"/>
                <w:tab w:val="left" w:pos="8505"/>
                <w:tab w:val="right" w:pos="9923"/>
              </w:tabs>
              <w:jc w:val="both"/>
              <w:rPr>
                <w:b/>
              </w:rPr>
            </w:pPr>
            <w:r w:rsidRPr="005D4290">
              <w:rPr>
                <w:b/>
              </w:rPr>
              <w:t>Résultat opérationnel (1 + 2)</w:t>
            </w:r>
            <w:r w:rsidRPr="005D4290">
              <w:rPr>
                <w:b/>
              </w:rPr>
              <w:tab/>
              <w:t xml:space="preserve">Fr. </w:t>
            </w:r>
            <w:r w:rsidRPr="005D4290">
              <w:rPr>
                <w:b/>
              </w:rPr>
              <w:tab/>
            </w:r>
          </w:p>
          <w:p w:rsidR="00315CD1" w:rsidRDefault="00315CD1" w:rsidP="00315CD1">
            <w:pPr>
              <w:tabs>
                <w:tab w:val="left" w:pos="4902"/>
                <w:tab w:val="center" w:pos="6910"/>
                <w:tab w:val="left" w:pos="8505"/>
                <w:tab w:val="right" w:pos="9923"/>
              </w:tabs>
              <w:jc w:val="both"/>
            </w:pPr>
          </w:p>
          <w:p w:rsidR="00315CD1" w:rsidRDefault="00315CD1" w:rsidP="00315CD1">
            <w:pPr>
              <w:tabs>
                <w:tab w:val="left" w:pos="5067"/>
                <w:tab w:val="center" w:pos="6910"/>
                <w:tab w:val="left" w:pos="8505"/>
                <w:tab w:val="right" w:pos="9923"/>
              </w:tabs>
              <w:jc w:val="both"/>
            </w:pPr>
            <w:r>
              <w:t>Charges extraordinaires</w:t>
            </w:r>
            <w:r>
              <w:tab/>
              <w:t>Fr.</w:t>
            </w:r>
            <w:r>
              <w:tab/>
            </w:r>
          </w:p>
          <w:p w:rsidR="00315CD1" w:rsidRPr="005D4290" w:rsidRDefault="00315CD1" w:rsidP="00315CD1">
            <w:pPr>
              <w:tabs>
                <w:tab w:val="left" w:pos="5067"/>
                <w:tab w:val="center" w:pos="6910"/>
                <w:tab w:val="left" w:pos="8505"/>
                <w:tab w:val="right" w:pos="9923"/>
              </w:tabs>
              <w:jc w:val="both"/>
              <w:rPr>
                <w:u w:val="single"/>
              </w:rPr>
            </w:pPr>
            <w:r>
              <w:t>Revenus extraordinaires</w:t>
            </w:r>
            <w:r>
              <w:tab/>
            </w:r>
            <w:r w:rsidRPr="005D4290">
              <w:rPr>
                <w:u w:val="single"/>
              </w:rPr>
              <w:t>Fr.</w:t>
            </w:r>
            <w:r w:rsidRPr="005D4290">
              <w:rPr>
                <w:u w:val="single"/>
              </w:rPr>
              <w:tab/>
            </w:r>
          </w:p>
          <w:p w:rsidR="00315CD1" w:rsidRDefault="00315CD1" w:rsidP="00315CD1">
            <w:pPr>
              <w:tabs>
                <w:tab w:val="left" w:pos="5067"/>
                <w:tab w:val="center" w:pos="6910"/>
                <w:tab w:val="left" w:pos="8505"/>
                <w:tab w:val="right" w:pos="9923"/>
              </w:tabs>
              <w:jc w:val="both"/>
            </w:pPr>
            <w:r>
              <w:t>Résultat extraordinaire (3)</w:t>
            </w:r>
            <w:r>
              <w:tab/>
              <w:t>Fr.</w:t>
            </w:r>
            <w:r>
              <w:tab/>
            </w:r>
          </w:p>
          <w:p w:rsidR="00315CD1" w:rsidRDefault="00315CD1" w:rsidP="00315CD1">
            <w:pPr>
              <w:tabs>
                <w:tab w:val="left" w:pos="4902"/>
                <w:tab w:val="center" w:pos="6910"/>
                <w:tab w:val="left" w:pos="8505"/>
                <w:tab w:val="right" w:pos="9923"/>
              </w:tabs>
              <w:jc w:val="both"/>
            </w:pPr>
          </w:p>
          <w:p w:rsidR="00315CD1" w:rsidRPr="003E6921" w:rsidRDefault="00315CD1" w:rsidP="00315CD1">
            <w:pPr>
              <w:tabs>
                <w:tab w:val="left" w:pos="5067"/>
                <w:tab w:val="center" w:pos="6910"/>
                <w:tab w:val="left" w:pos="8505"/>
                <w:tab w:val="right" w:pos="9923"/>
              </w:tabs>
              <w:jc w:val="both"/>
              <w:rPr>
                <w:b/>
              </w:rPr>
            </w:pPr>
            <w:r w:rsidRPr="003E6921">
              <w:rPr>
                <w:b/>
              </w:rPr>
              <w:t>Résultat total, compte de résultats (1 + 2 + 3)</w:t>
            </w:r>
            <w:r w:rsidRPr="003E6921">
              <w:rPr>
                <w:b/>
              </w:rPr>
              <w:tab/>
              <w:t xml:space="preserve">Fr. </w:t>
            </w:r>
            <w:r w:rsidRPr="003E6921">
              <w:rPr>
                <w:b/>
              </w:rPr>
              <w:tab/>
            </w:r>
          </w:p>
          <w:p w:rsidR="00315CD1" w:rsidRDefault="00315CD1" w:rsidP="00315CD1">
            <w:pPr>
              <w:tabs>
                <w:tab w:val="left" w:pos="4902"/>
                <w:tab w:val="center" w:pos="6910"/>
                <w:tab w:val="left" w:pos="8505"/>
                <w:tab w:val="right" w:pos="9923"/>
              </w:tabs>
              <w:jc w:val="both"/>
            </w:pPr>
          </w:p>
          <w:p w:rsidR="00315CD1" w:rsidRDefault="00315CD1" w:rsidP="00315CD1">
            <w:pPr>
              <w:tabs>
                <w:tab w:val="left" w:pos="4902"/>
                <w:tab w:val="center" w:pos="6910"/>
              </w:tabs>
              <w:spacing w:after="240"/>
              <w:ind w:hanging="426"/>
              <w:jc w:val="both"/>
            </w:pPr>
            <w:r>
              <w:t>b)</w:t>
            </w:r>
            <w:r>
              <w:tab/>
            </w:r>
            <w:r w:rsidR="00FA0E0C">
              <w:t xml:space="preserve">b) </w:t>
            </w:r>
            <w:r>
              <w:t xml:space="preserve">les </w:t>
            </w:r>
            <w:r w:rsidR="00FA0E0C">
              <w:t>dépenses</w:t>
            </w:r>
            <w:r>
              <w:t xml:space="preserve"> d'investissements du patrimoine administratif sont de :</w:t>
            </w:r>
          </w:p>
          <w:p w:rsidR="00315CD1" w:rsidRDefault="00315CD1" w:rsidP="00315CD1">
            <w:pPr>
              <w:tabs>
                <w:tab w:val="left" w:pos="5067"/>
                <w:tab w:val="center" w:pos="6910"/>
                <w:tab w:val="left" w:pos="8505"/>
                <w:tab w:val="right" w:pos="9923"/>
              </w:tabs>
              <w:jc w:val="both"/>
            </w:pPr>
            <w:r>
              <w:t>Total des dépenses</w:t>
            </w:r>
            <w:r>
              <w:tab/>
              <w:t xml:space="preserve">Fr. </w:t>
            </w:r>
            <w:r>
              <w:tab/>
            </w:r>
          </w:p>
          <w:p w:rsidR="00315CD1" w:rsidRPr="003E6921" w:rsidRDefault="00315CD1" w:rsidP="00315CD1">
            <w:pPr>
              <w:tabs>
                <w:tab w:val="left" w:pos="5067"/>
                <w:tab w:val="center" w:pos="6910"/>
                <w:tab w:val="left" w:pos="8505"/>
                <w:tab w:val="right" w:pos="9923"/>
              </w:tabs>
              <w:jc w:val="both"/>
              <w:rPr>
                <w:u w:val="single"/>
              </w:rPr>
            </w:pPr>
            <w:r>
              <w:t>Total des recettes</w:t>
            </w:r>
            <w:r>
              <w:tab/>
            </w:r>
            <w:r>
              <w:rPr>
                <w:u w:val="single"/>
              </w:rPr>
              <w:t xml:space="preserve">Fr. </w:t>
            </w:r>
            <w:r>
              <w:rPr>
                <w:u w:val="single"/>
              </w:rPr>
              <w:tab/>
            </w:r>
          </w:p>
          <w:p w:rsidR="00315CD1" w:rsidRDefault="00315CD1" w:rsidP="00315CD1">
            <w:pPr>
              <w:tabs>
                <w:tab w:val="left" w:pos="5067"/>
                <w:tab w:val="center" w:pos="6910"/>
                <w:tab w:val="left" w:pos="8505"/>
                <w:tab w:val="right" w:pos="9923"/>
              </w:tabs>
              <w:jc w:val="both"/>
            </w:pPr>
            <w:r>
              <w:t>Investissements nets</w:t>
            </w:r>
            <w:r>
              <w:tab/>
              <w:t xml:space="preserve">Fr. </w:t>
            </w:r>
            <w:r>
              <w:tab/>
            </w:r>
          </w:p>
          <w:p w:rsidR="0064353A" w:rsidRDefault="00FA0E0C" w:rsidP="00FA0E0C">
            <w:pPr>
              <w:pStyle w:val="rgtartxp"/>
              <w:tabs>
                <w:tab w:val="left" w:pos="4902"/>
                <w:tab w:val="left" w:pos="6059"/>
                <w:tab w:val="center" w:pos="6910"/>
              </w:tabs>
              <w:spacing w:before="240"/>
            </w:pPr>
            <w:bookmarkStart w:id="0" w:name="_GoBack"/>
            <w:bookmarkEnd w:id="0"/>
            <w:r>
              <w:t>c) pour information, les dépenses et recettes concernant le patrimoine financier :</w:t>
            </w:r>
          </w:p>
          <w:p w:rsidR="00FA0E0C" w:rsidRDefault="00FA0E0C" w:rsidP="00FA0E0C">
            <w:pPr>
              <w:tabs>
                <w:tab w:val="left" w:pos="5067"/>
                <w:tab w:val="center" w:pos="6910"/>
                <w:tab w:val="left" w:pos="8505"/>
                <w:tab w:val="right" w:pos="9923"/>
              </w:tabs>
              <w:jc w:val="both"/>
            </w:pPr>
            <w:r>
              <w:t>D</w:t>
            </w:r>
            <w:r>
              <w:t>épenses</w:t>
            </w:r>
            <w:r>
              <w:tab/>
              <w:t xml:space="preserve">Fr. </w:t>
            </w:r>
            <w:r>
              <w:tab/>
            </w:r>
          </w:p>
          <w:p w:rsidR="00FA0E0C" w:rsidRDefault="00FA0E0C" w:rsidP="00FA0E0C">
            <w:pPr>
              <w:tabs>
                <w:tab w:val="left" w:pos="5067"/>
                <w:tab w:val="center" w:pos="6910"/>
                <w:tab w:val="left" w:pos="8505"/>
                <w:tab w:val="right" w:pos="9923"/>
              </w:tabs>
              <w:jc w:val="both"/>
            </w:pPr>
            <w:r>
              <w:t>Recettes</w:t>
            </w:r>
            <w:r>
              <w:tab/>
              <w:t xml:space="preserve">Fr. </w:t>
            </w:r>
            <w:r>
              <w:tab/>
            </w:r>
          </w:p>
        </w:tc>
      </w:tr>
      <w:tr w:rsidR="0064353A">
        <w:trPr>
          <w:cantSplit/>
        </w:trPr>
        <w:tc>
          <w:tcPr>
            <w:tcW w:w="2518" w:type="dxa"/>
          </w:tcPr>
          <w:p w:rsidR="0064353A" w:rsidRDefault="0064353A">
            <w:pPr>
              <w:pStyle w:val="rgtartxp"/>
              <w:jc w:val="left"/>
            </w:pPr>
            <w:r>
              <w:lastRenderedPageBreak/>
              <w:t>Coefficient d'impôt et impôt foncier</w:t>
            </w:r>
          </w:p>
        </w:tc>
        <w:tc>
          <w:tcPr>
            <w:tcW w:w="7195" w:type="dxa"/>
            <w:gridSpan w:val="2"/>
          </w:tcPr>
          <w:p w:rsidR="0064353A" w:rsidRDefault="0064353A" w:rsidP="006472B8">
            <w:pPr>
              <w:pStyle w:val="rgtartxp"/>
              <w:numPr>
                <w:ilvl w:val="0"/>
                <w:numId w:val="12"/>
              </w:numPr>
            </w:pPr>
            <w:r>
              <w:rPr>
                <w:vertAlign w:val="superscript"/>
              </w:rPr>
              <w:t>1</w:t>
            </w:r>
            <w:r>
              <w:t>Dans la nouvelle commune, l'impôt direct communal sur le revenu et la fortune des personnes physiques est calculé conformément au barème unique de référence prévu aux articles 40 et 53 de la loi sur les contributions directes, du 21 mars 2000 (</w:t>
            </w:r>
            <w:proofErr w:type="spellStart"/>
            <w:r>
              <w:t>LCdir</w:t>
            </w:r>
            <w:proofErr w:type="spellEnd"/>
            <w:r>
              <w:t>) (RSN 631.0), multiplié par un coefficient de ..%, dès le 1</w:t>
            </w:r>
            <w:r>
              <w:rPr>
                <w:vertAlign w:val="superscript"/>
              </w:rPr>
              <w:t>er</w:t>
            </w:r>
            <w:r>
              <w:t xml:space="preserve"> janvier 20…</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rsidP="00F27654">
            <w:pPr>
              <w:pStyle w:val="rgtart1p"/>
              <w:numPr>
                <w:ilvl w:val="12"/>
                <w:numId w:val="0"/>
              </w:numPr>
              <w:rPr>
                <w:sz w:val="22"/>
              </w:rPr>
            </w:pPr>
            <w:r>
              <w:rPr>
                <w:sz w:val="22"/>
                <w:vertAlign w:val="superscript"/>
              </w:rPr>
              <w:t>2</w:t>
            </w:r>
            <w:r>
              <w:rPr>
                <w:i/>
                <w:iCs/>
                <w:sz w:val="22"/>
              </w:rPr>
              <w:t xml:space="preserve">Dans cette même commune et dès la même date, le taux de l'impôt foncier prévu à l'article 273 </w:t>
            </w:r>
            <w:proofErr w:type="spellStart"/>
            <w:r>
              <w:rPr>
                <w:i/>
                <w:iCs/>
                <w:sz w:val="22"/>
              </w:rPr>
              <w:t>LCdir</w:t>
            </w:r>
            <w:proofErr w:type="spellEnd"/>
            <w:r>
              <w:rPr>
                <w:i/>
                <w:iCs/>
                <w:sz w:val="22"/>
              </w:rPr>
              <w:t xml:space="preserve"> est de ..</w:t>
            </w:r>
            <w:r>
              <w:rPr>
                <w:i/>
                <w:iCs/>
                <w:sz w:val="22"/>
                <w:vertAlign w:val="superscript"/>
              </w:rPr>
              <w:t>0</w:t>
            </w:r>
            <w:r>
              <w:rPr>
                <w:i/>
                <w:iCs/>
                <w:sz w:val="22"/>
                <w:szCs w:val="22"/>
              </w:rPr>
              <w:sym w:font="Symbol" w:char="F02F"/>
            </w:r>
            <w:r>
              <w:rPr>
                <w:i/>
                <w:iCs/>
                <w:sz w:val="22"/>
                <w:vertAlign w:val="subscript"/>
              </w:rPr>
              <w:t>00</w:t>
            </w:r>
            <w:r>
              <w:rPr>
                <w:i/>
                <w:iCs/>
                <w:sz w:val="22"/>
              </w:rPr>
              <w:t xml:space="preserve"> (maximum 1,</w:t>
            </w:r>
            <w:r w:rsidR="00F27654">
              <w:rPr>
                <w:i/>
                <w:iCs/>
                <w:sz w:val="22"/>
              </w:rPr>
              <w:t>6</w:t>
            </w:r>
            <w:r>
              <w:rPr>
                <w:i/>
                <w:iCs/>
                <w:sz w:val="22"/>
                <w:vertAlign w:val="superscript"/>
              </w:rPr>
              <w:t>0</w:t>
            </w:r>
            <w:r>
              <w:rPr>
                <w:i/>
                <w:iCs/>
                <w:sz w:val="22"/>
                <w:szCs w:val="22"/>
              </w:rPr>
              <w:sym w:font="Symbol" w:char="F02F"/>
            </w:r>
            <w:r>
              <w:rPr>
                <w:i/>
                <w:iCs/>
                <w:sz w:val="22"/>
                <w:vertAlign w:val="subscript"/>
              </w:rPr>
              <w:t>00</w:t>
            </w:r>
            <w:r>
              <w:rPr>
                <w:i/>
                <w:iCs/>
                <w:sz w:val="22"/>
              </w:rPr>
              <w:t>).</w:t>
            </w:r>
          </w:p>
        </w:tc>
      </w:tr>
      <w:tr w:rsidR="0064353A">
        <w:trPr>
          <w:cantSplit/>
        </w:trPr>
        <w:tc>
          <w:tcPr>
            <w:tcW w:w="2518" w:type="dxa"/>
          </w:tcPr>
          <w:p w:rsidR="0064353A" w:rsidRDefault="0064353A">
            <w:pPr>
              <w:pStyle w:val="rgtart1p"/>
              <w:spacing w:after="240"/>
              <w:jc w:val="left"/>
              <w:rPr>
                <w:i/>
                <w:iCs/>
                <w:sz w:val="22"/>
              </w:rPr>
            </w:pPr>
            <w:r>
              <w:rPr>
                <w:i/>
                <w:iCs/>
                <w:sz w:val="22"/>
              </w:rPr>
              <w:t>Aide à la fusion</w:t>
            </w:r>
          </w:p>
        </w:tc>
        <w:tc>
          <w:tcPr>
            <w:tcW w:w="7195" w:type="dxa"/>
            <w:gridSpan w:val="2"/>
          </w:tcPr>
          <w:p w:rsidR="0064353A" w:rsidRDefault="0064353A" w:rsidP="006472B8">
            <w:pPr>
              <w:pStyle w:val="rgtart1p"/>
              <w:numPr>
                <w:ilvl w:val="0"/>
                <w:numId w:val="12"/>
              </w:numPr>
              <w:spacing w:after="240"/>
              <w:rPr>
                <w:sz w:val="22"/>
              </w:rPr>
            </w:pPr>
            <w:r>
              <w:rPr>
                <w:sz w:val="22"/>
                <w:vertAlign w:val="superscript"/>
              </w:rPr>
              <w:t>1</w:t>
            </w:r>
            <w:r>
              <w:rPr>
                <w:i/>
                <w:iCs/>
                <w:sz w:val="22"/>
              </w:rPr>
              <w:t>L'aide de l'Etat à la fusion sera déterminée une fois la convention adoptée par tous les Conseils communaux.</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numPr>
                <w:ilvl w:val="12"/>
                <w:numId w:val="0"/>
              </w:numPr>
              <w:rPr>
                <w:sz w:val="22"/>
              </w:rPr>
            </w:pPr>
            <w:r>
              <w:rPr>
                <w:sz w:val="22"/>
                <w:vertAlign w:val="superscript"/>
              </w:rPr>
              <w:t>2</w:t>
            </w:r>
            <w:r>
              <w:rPr>
                <w:i/>
                <w:iCs/>
                <w:sz w:val="22"/>
              </w:rPr>
              <w:t>Elle sera versée dans l'année qui suit l'entrée en vigueur de la fusion.</w:t>
            </w:r>
          </w:p>
        </w:tc>
      </w:tr>
      <w:tr w:rsidR="0064353A">
        <w:trPr>
          <w:cantSplit/>
        </w:trPr>
        <w:tc>
          <w:tcPr>
            <w:tcW w:w="9713" w:type="dxa"/>
            <w:gridSpan w:val="3"/>
          </w:tcPr>
          <w:p w:rsidR="0064353A" w:rsidRDefault="0064353A">
            <w:pPr>
              <w:pStyle w:val="rgtchapn"/>
              <w:spacing w:before="720" w:after="720"/>
            </w:pPr>
            <w:r>
              <w:t>Chapitre 4</w:t>
            </w:r>
          </w:p>
        </w:tc>
      </w:tr>
      <w:tr w:rsidR="0064353A">
        <w:trPr>
          <w:cantSplit/>
        </w:trPr>
        <w:tc>
          <w:tcPr>
            <w:tcW w:w="9713" w:type="dxa"/>
            <w:gridSpan w:val="3"/>
          </w:tcPr>
          <w:p w:rsidR="0064353A" w:rsidRDefault="0064353A" w:rsidP="006472B8">
            <w:pPr>
              <w:pStyle w:val="rgtcont"/>
              <w:numPr>
                <w:ilvl w:val="0"/>
                <w:numId w:val="13"/>
              </w:numPr>
            </w:pPr>
            <w:r>
              <w:t>TRANSFERT DES BIENS ET DES ENGAGEMENTS</w:t>
            </w:r>
          </w:p>
        </w:tc>
      </w:tr>
      <w:tr w:rsidR="0064353A">
        <w:trPr>
          <w:cantSplit/>
        </w:trPr>
        <w:tc>
          <w:tcPr>
            <w:tcW w:w="2518" w:type="dxa"/>
          </w:tcPr>
          <w:p w:rsidR="0064353A" w:rsidRDefault="0064353A">
            <w:pPr>
              <w:pStyle w:val="rgtartxp"/>
              <w:spacing w:after="480"/>
              <w:jc w:val="left"/>
            </w:pPr>
            <w:r>
              <w:t>Transfert des biens des communes</w:t>
            </w:r>
          </w:p>
        </w:tc>
        <w:tc>
          <w:tcPr>
            <w:tcW w:w="7195" w:type="dxa"/>
            <w:gridSpan w:val="2"/>
          </w:tcPr>
          <w:p w:rsidR="0064353A" w:rsidRDefault="0064353A" w:rsidP="006472B8">
            <w:pPr>
              <w:pStyle w:val="rgtartxp"/>
              <w:numPr>
                <w:ilvl w:val="0"/>
                <w:numId w:val="14"/>
              </w:numPr>
              <w:spacing w:after="480"/>
            </w:pPr>
            <w:r>
              <w:t>Au 1</w:t>
            </w:r>
            <w:r>
              <w:rPr>
                <w:vertAlign w:val="superscript"/>
              </w:rPr>
              <w:t>er</w:t>
            </w:r>
            <w:r>
              <w:t xml:space="preserve"> janvier 20.., tous les actifs et passifs des anciennes communes sont repris par la nouvelle commune.</w:t>
            </w:r>
          </w:p>
        </w:tc>
      </w:tr>
      <w:tr w:rsidR="0064353A">
        <w:trPr>
          <w:cantSplit/>
        </w:trPr>
        <w:tc>
          <w:tcPr>
            <w:tcW w:w="2518" w:type="dxa"/>
          </w:tcPr>
          <w:p w:rsidR="0064353A" w:rsidRDefault="0064353A">
            <w:pPr>
              <w:pStyle w:val="rgtartxp"/>
              <w:spacing w:after="480"/>
              <w:jc w:val="left"/>
            </w:pPr>
            <w:r>
              <w:t>Transfert des biens</w:t>
            </w:r>
            <w:r>
              <w:br/>
              <w:t>des entités extra-communales</w:t>
            </w:r>
          </w:p>
        </w:tc>
        <w:tc>
          <w:tcPr>
            <w:tcW w:w="7195" w:type="dxa"/>
            <w:gridSpan w:val="2"/>
          </w:tcPr>
          <w:p w:rsidR="0064353A" w:rsidRDefault="0064353A" w:rsidP="006472B8">
            <w:pPr>
              <w:pStyle w:val="rgtartxp"/>
              <w:numPr>
                <w:ilvl w:val="0"/>
                <w:numId w:val="14"/>
              </w:numPr>
              <w:spacing w:after="480"/>
            </w:pPr>
            <w:r>
              <w:t>Au 1</w:t>
            </w:r>
            <w:r>
              <w:rPr>
                <w:vertAlign w:val="superscript"/>
              </w:rPr>
              <w:t>er</w:t>
            </w:r>
            <w:r>
              <w:t xml:space="preserve"> janvier 20.., tous les actifs et passifs des anciennes communes dans les entités </w:t>
            </w:r>
            <w:proofErr w:type="spellStart"/>
            <w:r>
              <w:t>extracommunales</w:t>
            </w:r>
            <w:proofErr w:type="spellEnd"/>
            <w:r>
              <w:t>, dissoutes lors de l'entrée en vigueur de la fusion (syndicats intercommunaux, associations, sociétés anonymes, sociétés coopératives, fondations, etc.), sont repris par la nouvelle commune.</w:t>
            </w:r>
          </w:p>
        </w:tc>
      </w:tr>
      <w:tr w:rsidR="0064353A">
        <w:trPr>
          <w:cantSplit/>
        </w:trPr>
        <w:tc>
          <w:tcPr>
            <w:tcW w:w="2518" w:type="dxa"/>
          </w:tcPr>
          <w:p w:rsidR="0064353A" w:rsidRDefault="0064353A">
            <w:pPr>
              <w:pStyle w:val="rgtart1p"/>
              <w:spacing w:after="240"/>
              <w:jc w:val="left"/>
              <w:rPr>
                <w:sz w:val="22"/>
              </w:rPr>
            </w:pPr>
            <w:r>
              <w:rPr>
                <w:sz w:val="22"/>
              </w:rPr>
              <w:t>Dissolutions</w:t>
            </w:r>
          </w:p>
        </w:tc>
        <w:tc>
          <w:tcPr>
            <w:tcW w:w="7195" w:type="dxa"/>
            <w:gridSpan w:val="2"/>
          </w:tcPr>
          <w:p w:rsidR="0064353A" w:rsidRDefault="0064353A" w:rsidP="006472B8">
            <w:pPr>
              <w:pStyle w:val="rgtart1p"/>
              <w:numPr>
                <w:ilvl w:val="0"/>
                <w:numId w:val="14"/>
              </w:numPr>
              <w:spacing w:after="240"/>
              <w:rPr>
                <w:sz w:val="22"/>
              </w:rPr>
            </w:pPr>
            <w:r>
              <w:rPr>
                <w:sz w:val="22"/>
              </w:rPr>
              <w:t xml:space="preserve">La disposition ci-dessus s'applique aux entités </w:t>
            </w:r>
            <w:proofErr w:type="spellStart"/>
            <w:r>
              <w:rPr>
                <w:sz w:val="22"/>
              </w:rPr>
              <w:t>extracommunales</w:t>
            </w:r>
            <w:proofErr w:type="spellEnd"/>
            <w:r>
              <w:rPr>
                <w:sz w:val="22"/>
              </w:rPr>
              <w:t xml:space="preserve"> suivantes, dissoutes au 1</w:t>
            </w:r>
            <w:r>
              <w:rPr>
                <w:sz w:val="22"/>
                <w:vertAlign w:val="superscript"/>
              </w:rPr>
              <w:t>er</w:t>
            </w:r>
            <w:r>
              <w:rPr>
                <w:sz w:val="22"/>
              </w:rPr>
              <w:t xml:space="preserve"> janvier 20..:</w:t>
            </w:r>
          </w:p>
        </w:tc>
      </w:tr>
      <w:tr w:rsidR="0064353A">
        <w:trPr>
          <w:cantSplit/>
        </w:trPr>
        <w:tc>
          <w:tcPr>
            <w:tcW w:w="2518" w:type="dxa"/>
          </w:tcPr>
          <w:p w:rsidR="0064353A" w:rsidRDefault="0064353A">
            <w:pPr>
              <w:pStyle w:val="rgtartxp"/>
              <w:jc w:val="left"/>
              <w:rPr>
                <w:sz w:val="20"/>
              </w:rPr>
            </w:pPr>
          </w:p>
        </w:tc>
        <w:tc>
          <w:tcPr>
            <w:tcW w:w="7195" w:type="dxa"/>
            <w:gridSpan w:val="2"/>
          </w:tcPr>
          <w:p w:rsidR="0064353A" w:rsidRDefault="0064353A">
            <w:pPr>
              <w:pStyle w:val="rgtartxp"/>
              <w:spacing w:after="0"/>
              <w:ind w:left="391" w:hanging="391"/>
            </w:pPr>
            <w:r>
              <w:t>a)</w:t>
            </w:r>
            <w:r>
              <w:tab/>
              <w:t xml:space="preserve">Syndicat intercommunal de </w:t>
            </w:r>
            <w:proofErr w:type="gramStart"/>
            <w:r>
              <w:t>…….</w:t>
            </w:r>
            <w:proofErr w:type="gramEnd"/>
            <w:r>
              <w:t>.,</w:t>
            </w:r>
          </w:p>
          <w:p w:rsidR="0064353A" w:rsidRDefault="0064353A">
            <w:pPr>
              <w:pStyle w:val="rgtartxp"/>
              <w:spacing w:after="0"/>
              <w:ind w:left="391" w:hanging="391"/>
            </w:pPr>
            <w:r>
              <w:t>b)</w:t>
            </w:r>
            <w:r>
              <w:tab/>
              <w:t xml:space="preserve">Syndicat régional de </w:t>
            </w:r>
            <w:proofErr w:type="gramStart"/>
            <w:r>
              <w:t>…….</w:t>
            </w:r>
            <w:proofErr w:type="gramEnd"/>
            <w:r>
              <w:t>.,</w:t>
            </w:r>
          </w:p>
          <w:p w:rsidR="0064353A" w:rsidRDefault="0064353A">
            <w:pPr>
              <w:pStyle w:val="rgtartxp"/>
              <w:spacing w:after="0"/>
              <w:ind w:left="391" w:hanging="391"/>
            </w:pPr>
            <w:r>
              <w:t>c)</w:t>
            </w:r>
            <w:r>
              <w:tab/>
              <w:t xml:space="preserve">Société anonyme de </w:t>
            </w:r>
            <w:proofErr w:type="gramStart"/>
            <w:r>
              <w:t>…….</w:t>
            </w:r>
            <w:proofErr w:type="gramEnd"/>
            <w:r>
              <w:t>.,</w:t>
            </w:r>
          </w:p>
          <w:p w:rsidR="0064353A" w:rsidRDefault="0064353A">
            <w:pPr>
              <w:pStyle w:val="rgtartxp"/>
              <w:spacing w:after="480"/>
              <w:ind w:left="391" w:hanging="1"/>
            </w:pPr>
            <w:r>
              <w:t>etc.</w:t>
            </w:r>
          </w:p>
        </w:tc>
      </w:tr>
      <w:tr w:rsidR="0064353A">
        <w:trPr>
          <w:cantSplit/>
        </w:trPr>
        <w:tc>
          <w:tcPr>
            <w:tcW w:w="2518" w:type="dxa"/>
          </w:tcPr>
          <w:p w:rsidR="0064353A" w:rsidRDefault="0064353A">
            <w:pPr>
              <w:pStyle w:val="rgtartxp"/>
              <w:spacing w:after="480"/>
              <w:jc w:val="left"/>
            </w:pPr>
            <w:r>
              <w:t>Reprise des participations</w:t>
            </w:r>
          </w:p>
        </w:tc>
        <w:tc>
          <w:tcPr>
            <w:tcW w:w="7195" w:type="dxa"/>
            <w:gridSpan w:val="2"/>
          </w:tcPr>
          <w:p w:rsidR="0064353A" w:rsidRDefault="0064353A" w:rsidP="006472B8">
            <w:pPr>
              <w:pStyle w:val="rgtartxp"/>
              <w:numPr>
                <w:ilvl w:val="0"/>
                <w:numId w:val="14"/>
              </w:numPr>
              <w:spacing w:after="480"/>
            </w:pPr>
            <w:r>
              <w:t xml:space="preserve">La nouvelle commune reprend intégralement les participations des anciennes communes aux entités </w:t>
            </w:r>
            <w:proofErr w:type="spellStart"/>
            <w:r>
              <w:t>extracommunales</w:t>
            </w:r>
            <w:proofErr w:type="spellEnd"/>
            <w:r>
              <w:t xml:space="preserve"> dont l'existence est maintenue lors de l'entrée en vigueur de la fusion.</w:t>
            </w:r>
          </w:p>
        </w:tc>
      </w:tr>
      <w:tr w:rsidR="0064353A">
        <w:trPr>
          <w:cantSplit/>
        </w:trPr>
        <w:tc>
          <w:tcPr>
            <w:tcW w:w="2518" w:type="dxa"/>
          </w:tcPr>
          <w:p w:rsidR="0064353A" w:rsidRDefault="0064353A">
            <w:pPr>
              <w:pStyle w:val="rgtart1p"/>
              <w:spacing w:after="240"/>
              <w:jc w:val="left"/>
              <w:rPr>
                <w:i/>
                <w:iCs/>
                <w:sz w:val="22"/>
              </w:rPr>
            </w:pPr>
            <w:r>
              <w:rPr>
                <w:i/>
                <w:iCs/>
                <w:sz w:val="22"/>
              </w:rPr>
              <w:t>Transfert des droits et obligations</w:t>
            </w:r>
          </w:p>
        </w:tc>
        <w:tc>
          <w:tcPr>
            <w:tcW w:w="7195" w:type="dxa"/>
            <w:gridSpan w:val="2"/>
          </w:tcPr>
          <w:p w:rsidR="0064353A" w:rsidRDefault="0064353A" w:rsidP="006472B8">
            <w:pPr>
              <w:pStyle w:val="rgtart1p"/>
              <w:numPr>
                <w:ilvl w:val="0"/>
                <w:numId w:val="14"/>
              </w:numPr>
              <w:spacing w:after="240"/>
              <w:rPr>
                <w:i/>
                <w:iCs/>
                <w:sz w:val="22"/>
              </w:rPr>
            </w:pPr>
            <w:r>
              <w:rPr>
                <w:i/>
                <w:iCs/>
                <w:sz w:val="22"/>
                <w:vertAlign w:val="superscript"/>
              </w:rPr>
              <w:t>1</w:t>
            </w:r>
            <w:r>
              <w:rPr>
                <w:i/>
                <w:iCs/>
                <w:sz w:val="22"/>
              </w:rPr>
              <w:t>La nouvelle commune reprend toutes les conventions publiques et privées existant dans les anciennes communes, ainsi que tous les engagements écrits légalement consentis par l'une ou l'autre commune avant la fusion.</w:t>
            </w:r>
          </w:p>
        </w:tc>
      </w:tr>
      <w:tr w:rsidR="0064353A">
        <w:trPr>
          <w:cantSplit/>
        </w:trPr>
        <w:tc>
          <w:tcPr>
            <w:tcW w:w="2518" w:type="dxa"/>
          </w:tcPr>
          <w:p w:rsidR="0064353A" w:rsidRDefault="0064353A">
            <w:pPr>
              <w:pStyle w:val="rgtartxp"/>
              <w:jc w:val="left"/>
              <w:rPr>
                <w:i/>
                <w:iCs/>
                <w:sz w:val="20"/>
              </w:rPr>
            </w:pPr>
          </w:p>
        </w:tc>
        <w:tc>
          <w:tcPr>
            <w:tcW w:w="7195" w:type="dxa"/>
            <w:gridSpan w:val="2"/>
          </w:tcPr>
          <w:p w:rsidR="0064353A" w:rsidRDefault="0064353A">
            <w:pPr>
              <w:pStyle w:val="rgtartxp"/>
              <w:spacing w:after="480"/>
              <w:rPr>
                <w:i/>
                <w:iCs/>
              </w:rPr>
            </w:pPr>
            <w:r>
              <w:rPr>
                <w:i/>
                <w:iCs/>
                <w:vertAlign w:val="superscript"/>
              </w:rPr>
              <w:t>2</w:t>
            </w:r>
            <w:r>
              <w:rPr>
                <w:i/>
                <w:iCs/>
              </w:rPr>
              <w:t xml:space="preserve">Il en va de même pour toutes les conventions publiques et privées existant dans les entités </w:t>
            </w:r>
            <w:proofErr w:type="spellStart"/>
            <w:r>
              <w:rPr>
                <w:i/>
                <w:iCs/>
              </w:rPr>
              <w:t>extracommunales</w:t>
            </w:r>
            <w:proofErr w:type="spellEnd"/>
            <w:r>
              <w:rPr>
                <w:i/>
                <w:iCs/>
              </w:rPr>
              <w:t xml:space="preserve"> dissoutes, ainsi que pour tous les engagements écrits qu'elles ont légalement consentis avant la fusion.</w:t>
            </w:r>
          </w:p>
        </w:tc>
      </w:tr>
      <w:tr w:rsidR="0064353A">
        <w:trPr>
          <w:cantSplit/>
        </w:trPr>
        <w:tc>
          <w:tcPr>
            <w:tcW w:w="2518" w:type="dxa"/>
          </w:tcPr>
          <w:p w:rsidR="0064353A" w:rsidRDefault="0064353A">
            <w:pPr>
              <w:pStyle w:val="rgtart1p"/>
              <w:spacing w:after="0"/>
              <w:jc w:val="left"/>
              <w:rPr>
                <w:i/>
                <w:iCs/>
                <w:sz w:val="22"/>
              </w:rPr>
            </w:pPr>
            <w:r>
              <w:rPr>
                <w:i/>
                <w:iCs/>
                <w:sz w:val="22"/>
              </w:rPr>
              <w:t>Transfert du personnel</w:t>
            </w:r>
          </w:p>
          <w:p w:rsidR="0064353A" w:rsidRDefault="0064353A">
            <w:pPr>
              <w:pStyle w:val="rgtart1p"/>
              <w:jc w:val="left"/>
              <w:rPr>
                <w:b/>
                <w:bCs/>
                <w:i/>
                <w:iCs/>
                <w:sz w:val="20"/>
              </w:rPr>
            </w:pPr>
            <w:r>
              <w:rPr>
                <w:b/>
                <w:bCs/>
                <w:i/>
                <w:iCs/>
                <w:sz w:val="20"/>
              </w:rPr>
              <w:t>Variante 1</w:t>
            </w:r>
          </w:p>
        </w:tc>
        <w:tc>
          <w:tcPr>
            <w:tcW w:w="7195" w:type="dxa"/>
            <w:gridSpan w:val="2"/>
          </w:tcPr>
          <w:p w:rsidR="0064353A" w:rsidRDefault="0064353A" w:rsidP="006472B8">
            <w:pPr>
              <w:pStyle w:val="rgtart1p"/>
              <w:numPr>
                <w:ilvl w:val="0"/>
                <w:numId w:val="14"/>
              </w:numPr>
              <w:tabs>
                <w:tab w:val="left" w:pos="531"/>
              </w:tabs>
              <w:rPr>
                <w:i/>
                <w:iCs/>
                <w:sz w:val="22"/>
              </w:rPr>
            </w:pPr>
            <w:r>
              <w:rPr>
                <w:i/>
                <w:iCs/>
                <w:sz w:val="22"/>
              </w:rPr>
              <w:t xml:space="preserve">Le personnel en fonction au jour de la fusion dans chacune des communes signataires et dans chacune des entités </w:t>
            </w:r>
            <w:proofErr w:type="spellStart"/>
            <w:r>
              <w:rPr>
                <w:i/>
                <w:iCs/>
                <w:sz w:val="22"/>
              </w:rPr>
              <w:t>extracommunales</w:t>
            </w:r>
            <w:proofErr w:type="spellEnd"/>
            <w:r>
              <w:rPr>
                <w:i/>
                <w:iCs/>
                <w:sz w:val="22"/>
              </w:rPr>
              <w:t xml:space="preserve"> dissoutes par la présente convention, occupé à plein temps ou à temps partiel, est transféré à la nouvelle commune.</w:t>
            </w:r>
          </w:p>
        </w:tc>
      </w:tr>
      <w:tr w:rsidR="0064353A">
        <w:trPr>
          <w:cantSplit/>
        </w:trPr>
        <w:tc>
          <w:tcPr>
            <w:tcW w:w="2518" w:type="dxa"/>
          </w:tcPr>
          <w:p w:rsidR="0064353A" w:rsidRDefault="0064353A">
            <w:pPr>
              <w:pStyle w:val="rgtart1p"/>
              <w:spacing w:after="0"/>
              <w:jc w:val="left"/>
              <w:rPr>
                <w:i/>
                <w:iCs/>
                <w:sz w:val="22"/>
              </w:rPr>
            </w:pPr>
            <w:r>
              <w:rPr>
                <w:i/>
                <w:iCs/>
                <w:sz w:val="22"/>
              </w:rPr>
              <w:t>Transfert du personnel</w:t>
            </w:r>
          </w:p>
          <w:p w:rsidR="0064353A" w:rsidRDefault="0064353A">
            <w:pPr>
              <w:pStyle w:val="rgtart1p"/>
              <w:spacing w:after="240"/>
              <w:jc w:val="left"/>
              <w:rPr>
                <w:sz w:val="22"/>
              </w:rPr>
            </w:pPr>
            <w:r>
              <w:rPr>
                <w:b/>
                <w:bCs/>
                <w:i/>
                <w:iCs/>
                <w:sz w:val="20"/>
              </w:rPr>
              <w:t>Variante 2</w:t>
            </w:r>
          </w:p>
        </w:tc>
        <w:tc>
          <w:tcPr>
            <w:tcW w:w="7195" w:type="dxa"/>
            <w:gridSpan w:val="2"/>
          </w:tcPr>
          <w:p w:rsidR="0064353A" w:rsidRDefault="0064353A" w:rsidP="006472B8">
            <w:pPr>
              <w:pStyle w:val="rgtart1p"/>
              <w:numPr>
                <w:ilvl w:val="0"/>
                <w:numId w:val="22"/>
              </w:numPr>
              <w:tabs>
                <w:tab w:val="clear" w:pos="360"/>
                <w:tab w:val="num" w:pos="531"/>
              </w:tabs>
              <w:spacing w:after="240"/>
              <w:rPr>
                <w:sz w:val="22"/>
              </w:rPr>
            </w:pPr>
            <w:r>
              <w:rPr>
                <w:sz w:val="22"/>
                <w:vertAlign w:val="superscript"/>
              </w:rPr>
              <w:t>1</w:t>
            </w:r>
            <w:r>
              <w:rPr>
                <w:i/>
                <w:iCs/>
                <w:sz w:val="22"/>
              </w:rPr>
              <w:t>Les rapports de service du personnel des anciennes communes sont intégralement transférés à la nouvelle commune.</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numPr>
                <w:ilvl w:val="12"/>
                <w:numId w:val="0"/>
              </w:numPr>
              <w:rPr>
                <w:sz w:val="22"/>
              </w:rPr>
            </w:pPr>
            <w:r>
              <w:rPr>
                <w:sz w:val="22"/>
                <w:vertAlign w:val="superscript"/>
              </w:rPr>
              <w:t>2</w:t>
            </w:r>
            <w:r>
              <w:rPr>
                <w:i/>
                <w:iCs/>
                <w:sz w:val="22"/>
              </w:rPr>
              <w:t>Les éventuelles réorganisations au sein de l'administration, liées à la fusion, se font en principe par le biais des départs naturels.</w:t>
            </w:r>
          </w:p>
        </w:tc>
      </w:tr>
      <w:tr w:rsidR="0064353A">
        <w:trPr>
          <w:cantSplit/>
        </w:trPr>
        <w:tc>
          <w:tcPr>
            <w:tcW w:w="2518" w:type="dxa"/>
          </w:tcPr>
          <w:p w:rsidR="0064353A" w:rsidRDefault="0064353A">
            <w:pPr>
              <w:pStyle w:val="rgtart1p"/>
              <w:spacing w:after="0"/>
              <w:jc w:val="left"/>
              <w:rPr>
                <w:i/>
                <w:iCs/>
                <w:sz w:val="22"/>
              </w:rPr>
            </w:pPr>
            <w:r>
              <w:rPr>
                <w:i/>
                <w:iCs/>
                <w:sz w:val="22"/>
              </w:rPr>
              <w:t>Transfert du personnel</w:t>
            </w:r>
          </w:p>
          <w:p w:rsidR="0064353A" w:rsidRDefault="0064353A">
            <w:pPr>
              <w:pStyle w:val="rgtart1p"/>
              <w:spacing w:after="240"/>
              <w:jc w:val="left"/>
              <w:rPr>
                <w:i/>
                <w:iCs/>
                <w:sz w:val="22"/>
              </w:rPr>
            </w:pPr>
            <w:r>
              <w:rPr>
                <w:b/>
                <w:bCs/>
                <w:i/>
                <w:iCs/>
                <w:sz w:val="20"/>
              </w:rPr>
              <w:t>Variante 3</w:t>
            </w:r>
          </w:p>
        </w:tc>
        <w:tc>
          <w:tcPr>
            <w:tcW w:w="7195" w:type="dxa"/>
            <w:gridSpan w:val="2"/>
          </w:tcPr>
          <w:p w:rsidR="0064353A" w:rsidRDefault="0064353A" w:rsidP="006472B8">
            <w:pPr>
              <w:pStyle w:val="rgtart1p"/>
              <w:numPr>
                <w:ilvl w:val="0"/>
                <w:numId w:val="23"/>
              </w:numPr>
              <w:tabs>
                <w:tab w:val="clear" w:pos="360"/>
                <w:tab w:val="num" w:pos="531"/>
              </w:tabs>
              <w:spacing w:after="240"/>
              <w:rPr>
                <w:sz w:val="22"/>
              </w:rPr>
            </w:pPr>
            <w:r>
              <w:rPr>
                <w:sz w:val="22"/>
                <w:vertAlign w:val="superscript"/>
              </w:rPr>
              <w:t>1</w:t>
            </w:r>
            <w:r>
              <w:rPr>
                <w:i/>
                <w:iCs/>
                <w:sz w:val="22"/>
              </w:rPr>
              <w:t>Il est mis fin à tous les rapports de service du personnel des anciennes communes à la date de la fusion.</w:t>
            </w:r>
          </w:p>
        </w:tc>
      </w:tr>
      <w:tr w:rsidR="0064353A">
        <w:trPr>
          <w:cantSplit/>
        </w:trPr>
        <w:tc>
          <w:tcPr>
            <w:tcW w:w="2518" w:type="dxa"/>
          </w:tcPr>
          <w:p w:rsidR="0064353A" w:rsidRDefault="0064353A">
            <w:pPr>
              <w:pStyle w:val="rgtartxp"/>
              <w:jc w:val="left"/>
              <w:rPr>
                <w:sz w:val="20"/>
              </w:rPr>
            </w:pPr>
          </w:p>
        </w:tc>
        <w:tc>
          <w:tcPr>
            <w:tcW w:w="7195" w:type="dxa"/>
            <w:gridSpan w:val="2"/>
          </w:tcPr>
          <w:p w:rsidR="0064353A" w:rsidRDefault="0064353A">
            <w:pPr>
              <w:pStyle w:val="rgtartxp"/>
            </w:pPr>
            <w:r>
              <w:rPr>
                <w:vertAlign w:val="superscript"/>
              </w:rPr>
              <w:t>2</w:t>
            </w:r>
            <w:r>
              <w:rPr>
                <w:i/>
                <w:iCs/>
              </w:rPr>
              <w:t>Les postes vacants de la nouvelle commune seront mis au concours.</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numPr>
                <w:ilvl w:val="12"/>
                <w:numId w:val="0"/>
              </w:numPr>
              <w:rPr>
                <w:sz w:val="22"/>
              </w:rPr>
            </w:pPr>
            <w:r>
              <w:rPr>
                <w:sz w:val="22"/>
                <w:vertAlign w:val="superscript"/>
              </w:rPr>
              <w:t>3</w:t>
            </w:r>
            <w:r>
              <w:rPr>
                <w:i/>
                <w:iCs/>
                <w:sz w:val="22"/>
              </w:rPr>
              <w:t>Dans la mesure du possible, la priorité sera donnée au personnel des anciennes communes.</w:t>
            </w:r>
          </w:p>
        </w:tc>
      </w:tr>
      <w:tr w:rsidR="0064353A">
        <w:trPr>
          <w:cantSplit/>
        </w:trPr>
        <w:tc>
          <w:tcPr>
            <w:tcW w:w="9713" w:type="dxa"/>
            <w:gridSpan w:val="3"/>
          </w:tcPr>
          <w:p w:rsidR="0064353A" w:rsidRDefault="0064353A">
            <w:pPr>
              <w:pStyle w:val="rgtchapn"/>
              <w:spacing w:before="720" w:after="720"/>
            </w:pPr>
            <w:r>
              <w:t>Chapitre 5</w:t>
            </w:r>
          </w:p>
        </w:tc>
      </w:tr>
      <w:tr w:rsidR="0064353A">
        <w:trPr>
          <w:cantSplit/>
        </w:trPr>
        <w:tc>
          <w:tcPr>
            <w:tcW w:w="9713" w:type="dxa"/>
            <w:gridSpan w:val="3"/>
          </w:tcPr>
          <w:p w:rsidR="0064353A" w:rsidRDefault="0064353A" w:rsidP="006472B8">
            <w:pPr>
              <w:pStyle w:val="rgtcont"/>
              <w:numPr>
                <w:ilvl w:val="0"/>
                <w:numId w:val="15"/>
              </w:numPr>
            </w:pPr>
            <w:r>
              <w:t>DROIT DE CITE</w:t>
            </w:r>
          </w:p>
        </w:tc>
      </w:tr>
      <w:tr w:rsidR="0064353A">
        <w:trPr>
          <w:cantSplit/>
        </w:trPr>
        <w:tc>
          <w:tcPr>
            <w:tcW w:w="2518" w:type="dxa"/>
          </w:tcPr>
          <w:p w:rsidR="0064353A" w:rsidRDefault="0064353A">
            <w:pPr>
              <w:pStyle w:val="rgtartxp"/>
              <w:spacing w:after="480"/>
            </w:pPr>
            <w:r>
              <w:t>Droit de cité</w:t>
            </w:r>
          </w:p>
        </w:tc>
        <w:tc>
          <w:tcPr>
            <w:tcW w:w="7195" w:type="dxa"/>
            <w:gridSpan w:val="2"/>
          </w:tcPr>
          <w:p w:rsidR="0064353A" w:rsidRDefault="0064353A" w:rsidP="006472B8">
            <w:pPr>
              <w:pStyle w:val="rgtartxp"/>
              <w:numPr>
                <w:ilvl w:val="0"/>
                <w:numId w:val="16"/>
              </w:numPr>
              <w:spacing w:after="480"/>
            </w:pPr>
            <w:r>
              <w:t>Les personnes au bénéfice du droit de cité de chacune des anciennes communes acquièrent le droit de cité de la nouvelle commune.</w:t>
            </w:r>
          </w:p>
        </w:tc>
      </w:tr>
      <w:tr w:rsidR="0064353A">
        <w:trPr>
          <w:cantSplit/>
        </w:trPr>
        <w:tc>
          <w:tcPr>
            <w:tcW w:w="9713" w:type="dxa"/>
            <w:gridSpan w:val="3"/>
          </w:tcPr>
          <w:p w:rsidR="0064353A" w:rsidRDefault="0064353A">
            <w:pPr>
              <w:pStyle w:val="rgtchapn"/>
              <w:spacing w:before="720" w:after="720"/>
            </w:pPr>
            <w:r>
              <w:t>Chapitre 6</w:t>
            </w:r>
          </w:p>
        </w:tc>
      </w:tr>
      <w:tr w:rsidR="0064353A">
        <w:trPr>
          <w:cantSplit/>
        </w:trPr>
        <w:tc>
          <w:tcPr>
            <w:tcW w:w="9713" w:type="dxa"/>
            <w:gridSpan w:val="3"/>
          </w:tcPr>
          <w:p w:rsidR="0064353A" w:rsidRDefault="0064353A" w:rsidP="006472B8">
            <w:pPr>
              <w:pStyle w:val="rgtcont"/>
              <w:numPr>
                <w:ilvl w:val="0"/>
                <w:numId w:val="17"/>
              </w:numPr>
            </w:pPr>
            <w:r>
              <w:t>DISPOSITIONS TRANSITOIRES ET FINALES</w:t>
            </w:r>
          </w:p>
        </w:tc>
      </w:tr>
      <w:tr w:rsidR="0064353A">
        <w:trPr>
          <w:cantSplit/>
        </w:trPr>
        <w:tc>
          <w:tcPr>
            <w:tcW w:w="2518" w:type="dxa"/>
          </w:tcPr>
          <w:p w:rsidR="0064353A" w:rsidRDefault="0064353A">
            <w:pPr>
              <w:pStyle w:val="rgtartxp"/>
              <w:jc w:val="left"/>
            </w:pPr>
            <w:r>
              <w:lastRenderedPageBreak/>
              <w:t>Validité temporelle et territoriale des actes législatifs existants</w:t>
            </w:r>
          </w:p>
        </w:tc>
        <w:tc>
          <w:tcPr>
            <w:tcW w:w="7195" w:type="dxa"/>
            <w:gridSpan w:val="2"/>
          </w:tcPr>
          <w:p w:rsidR="0064353A" w:rsidRDefault="0064353A" w:rsidP="006472B8">
            <w:pPr>
              <w:pStyle w:val="rgtartxp"/>
              <w:numPr>
                <w:ilvl w:val="0"/>
                <w:numId w:val="18"/>
              </w:numPr>
            </w:pPr>
            <w:r>
              <w:rPr>
                <w:vertAlign w:val="superscript"/>
              </w:rPr>
              <w:t>1</w:t>
            </w:r>
            <w:r>
              <w:t>Les réglementations des anciennes communes restent en vigueur à l'intérieur des anciennes limites communales jusqu'à l'entrée en vigueur d'une réglementation unifiée dans la nouvelle commune.</w:t>
            </w:r>
          </w:p>
        </w:tc>
      </w:tr>
      <w:tr w:rsidR="0064353A">
        <w:trPr>
          <w:cantSplit/>
        </w:trPr>
        <w:tc>
          <w:tcPr>
            <w:tcW w:w="2518" w:type="dxa"/>
          </w:tcPr>
          <w:p w:rsidR="0064353A" w:rsidRDefault="0064353A">
            <w:pPr>
              <w:pStyle w:val="rgtart1p"/>
              <w:spacing w:after="240"/>
              <w:jc w:val="left"/>
              <w:rPr>
                <w:sz w:val="22"/>
              </w:rPr>
            </w:pPr>
          </w:p>
        </w:tc>
        <w:tc>
          <w:tcPr>
            <w:tcW w:w="7195" w:type="dxa"/>
            <w:gridSpan w:val="2"/>
          </w:tcPr>
          <w:p w:rsidR="0064353A" w:rsidRDefault="0064353A">
            <w:pPr>
              <w:pStyle w:val="rgtart1p"/>
              <w:numPr>
                <w:ilvl w:val="12"/>
                <w:numId w:val="0"/>
              </w:numPr>
              <w:spacing w:after="240"/>
              <w:rPr>
                <w:sz w:val="22"/>
              </w:rPr>
            </w:pPr>
            <w:r>
              <w:rPr>
                <w:sz w:val="22"/>
                <w:vertAlign w:val="superscript"/>
              </w:rPr>
              <w:t>2</w:t>
            </w:r>
            <w:r>
              <w:rPr>
                <w:sz w:val="22"/>
              </w:rPr>
              <w:t xml:space="preserve">Les règlements des entités </w:t>
            </w:r>
            <w:proofErr w:type="spellStart"/>
            <w:r>
              <w:rPr>
                <w:sz w:val="22"/>
              </w:rPr>
              <w:t>extracommunales</w:t>
            </w:r>
            <w:proofErr w:type="spellEnd"/>
            <w:r>
              <w:rPr>
                <w:sz w:val="22"/>
              </w:rPr>
              <w:t xml:space="preserve"> dissoutes par la présente convention sont applicables à la nouvelle commune jusqu'à ce que cette dernière édicte une nouvelle réglementation pour les domaines concernés.</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tabs>
                <w:tab w:val="left" w:pos="531"/>
              </w:tabs>
              <w:rPr>
                <w:sz w:val="22"/>
              </w:rPr>
            </w:pPr>
            <w:r>
              <w:rPr>
                <w:sz w:val="22"/>
                <w:vertAlign w:val="superscript"/>
              </w:rPr>
              <w:t>3</w:t>
            </w:r>
            <w:r>
              <w:rPr>
                <w:sz w:val="22"/>
              </w:rPr>
              <w:t>Les nouvelles réglementations entrent en vigueur au plus tôt le 1</w:t>
            </w:r>
            <w:r>
              <w:rPr>
                <w:sz w:val="22"/>
                <w:vertAlign w:val="superscript"/>
              </w:rPr>
              <w:t>er</w:t>
            </w:r>
            <w:r>
              <w:rPr>
                <w:sz w:val="22"/>
              </w:rPr>
              <w:t xml:space="preserve"> janvier 20…</w:t>
            </w:r>
          </w:p>
        </w:tc>
      </w:tr>
      <w:tr w:rsidR="0064353A">
        <w:trPr>
          <w:cantSplit/>
        </w:trPr>
        <w:tc>
          <w:tcPr>
            <w:tcW w:w="2518" w:type="dxa"/>
          </w:tcPr>
          <w:p w:rsidR="0064353A" w:rsidRDefault="0064353A">
            <w:pPr>
              <w:pStyle w:val="rgtart1p"/>
              <w:spacing w:after="240"/>
              <w:jc w:val="left"/>
              <w:rPr>
                <w:sz w:val="22"/>
              </w:rPr>
            </w:pPr>
            <w:r>
              <w:rPr>
                <w:sz w:val="22"/>
              </w:rPr>
              <w:t>Mise en œuvre de la convention</w:t>
            </w:r>
          </w:p>
        </w:tc>
        <w:tc>
          <w:tcPr>
            <w:tcW w:w="7195" w:type="dxa"/>
            <w:gridSpan w:val="2"/>
          </w:tcPr>
          <w:p w:rsidR="0064353A" w:rsidRDefault="0064353A" w:rsidP="006472B8">
            <w:pPr>
              <w:pStyle w:val="rgtart1p"/>
              <w:numPr>
                <w:ilvl w:val="0"/>
                <w:numId w:val="18"/>
              </w:numPr>
              <w:tabs>
                <w:tab w:val="left" w:pos="531"/>
              </w:tabs>
              <w:spacing w:after="240"/>
              <w:rPr>
                <w:sz w:val="22"/>
              </w:rPr>
            </w:pPr>
            <w:r>
              <w:rPr>
                <w:sz w:val="22"/>
                <w:vertAlign w:val="superscript"/>
              </w:rPr>
              <w:t>1</w:t>
            </w:r>
            <w:r>
              <w:rPr>
                <w:sz w:val="22"/>
              </w:rPr>
              <w:t>En cas d'acceptation de la présente convention par la population de toutes les anciennes communes, les Conseils communaux de ces communes sont chargés de sa mise en œuvre jusqu'à l'élection des autorités de la nouvelle commune.</w:t>
            </w:r>
          </w:p>
        </w:tc>
      </w:tr>
      <w:tr w:rsidR="0064353A">
        <w:trPr>
          <w:cantSplit/>
        </w:trPr>
        <w:tc>
          <w:tcPr>
            <w:tcW w:w="2518" w:type="dxa"/>
          </w:tcPr>
          <w:p w:rsidR="0064353A" w:rsidRDefault="0064353A">
            <w:pPr>
              <w:pStyle w:val="rgtartxp"/>
            </w:pPr>
          </w:p>
        </w:tc>
        <w:tc>
          <w:tcPr>
            <w:tcW w:w="7195" w:type="dxa"/>
            <w:gridSpan w:val="2"/>
          </w:tcPr>
          <w:p w:rsidR="0064353A" w:rsidRDefault="0064353A">
            <w:pPr>
              <w:pStyle w:val="rgtartxp"/>
              <w:numPr>
                <w:ilvl w:val="12"/>
                <w:numId w:val="0"/>
              </w:numPr>
            </w:pPr>
            <w:r>
              <w:rPr>
                <w:vertAlign w:val="superscript"/>
              </w:rPr>
              <w:t>2</w:t>
            </w:r>
            <w:r>
              <w:t>Cette élection aura lieu dans les meilleurs délais après le vote du peuple.</w:t>
            </w:r>
          </w:p>
        </w:tc>
      </w:tr>
      <w:tr w:rsidR="0064353A">
        <w:trPr>
          <w:cantSplit/>
        </w:trPr>
        <w:tc>
          <w:tcPr>
            <w:tcW w:w="2518" w:type="dxa"/>
          </w:tcPr>
          <w:p w:rsidR="0064353A" w:rsidRDefault="0064353A">
            <w:pPr>
              <w:pStyle w:val="rgtart1p"/>
              <w:jc w:val="left"/>
              <w:rPr>
                <w:sz w:val="22"/>
              </w:rPr>
            </w:pPr>
          </w:p>
        </w:tc>
        <w:tc>
          <w:tcPr>
            <w:tcW w:w="7195" w:type="dxa"/>
            <w:gridSpan w:val="2"/>
          </w:tcPr>
          <w:p w:rsidR="0064353A" w:rsidRDefault="0064353A">
            <w:pPr>
              <w:pStyle w:val="rgtart1p"/>
              <w:numPr>
                <w:ilvl w:val="12"/>
                <w:numId w:val="0"/>
              </w:numPr>
              <w:rPr>
                <w:sz w:val="22"/>
              </w:rPr>
            </w:pPr>
            <w:r>
              <w:rPr>
                <w:sz w:val="22"/>
                <w:vertAlign w:val="superscript"/>
              </w:rPr>
              <w:t>3</w:t>
            </w:r>
            <w:r>
              <w:rPr>
                <w:sz w:val="22"/>
              </w:rPr>
              <w:t>Dès la validation de leur élection, les autorités de la nouvelle commune peuvent se réunir et adopter des actes relatifs à son organisation et à son fonctionnement, conformément à l'article 2.6 alinéa 3 de la présente convention.</w:t>
            </w:r>
          </w:p>
        </w:tc>
      </w:tr>
      <w:tr w:rsidR="0064353A">
        <w:tblPrEx>
          <w:tblCellMar>
            <w:left w:w="71" w:type="dxa"/>
            <w:right w:w="71" w:type="dxa"/>
          </w:tblCellMar>
        </w:tblPrEx>
        <w:trPr>
          <w:cantSplit/>
        </w:trPr>
        <w:tc>
          <w:tcPr>
            <w:tcW w:w="4679" w:type="dxa"/>
            <w:gridSpan w:val="2"/>
          </w:tcPr>
          <w:p w:rsidR="0064353A" w:rsidRDefault="0064353A">
            <w:pPr>
              <w:spacing w:before="480" w:after="480"/>
              <w:rPr>
                <w:u w:val="single"/>
              </w:rPr>
            </w:pPr>
            <w:r>
              <w:rPr>
                <w:lang w:val="de-CH"/>
              </w:rPr>
              <w:t>......................., le ..................................</w:t>
            </w:r>
          </w:p>
        </w:tc>
        <w:tc>
          <w:tcPr>
            <w:tcW w:w="5034" w:type="dxa"/>
          </w:tcPr>
          <w:p w:rsidR="0064353A" w:rsidRDefault="0064353A">
            <w:pPr>
              <w:spacing w:before="480" w:after="480"/>
              <w:rPr>
                <w:lang w:val="de-CH"/>
              </w:rPr>
            </w:pPr>
          </w:p>
        </w:tc>
      </w:tr>
      <w:tr w:rsidR="0064353A">
        <w:tblPrEx>
          <w:tblCellMar>
            <w:left w:w="71" w:type="dxa"/>
            <w:right w:w="71" w:type="dxa"/>
          </w:tblCellMar>
        </w:tblPrEx>
        <w:trPr>
          <w:cantSplit/>
        </w:trPr>
        <w:tc>
          <w:tcPr>
            <w:tcW w:w="4679" w:type="dxa"/>
            <w:gridSpan w:val="2"/>
          </w:tcPr>
          <w:p w:rsidR="0064353A" w:rsidRDefault="0064353A">
            <w:pPr>
              <w:spacing w:after="1200"/>
              <w:rPr>
                <w:lang w:val="de-CH"/>
              </w:rPr>
            </w:pPr>
            <w:r>
              <w:rPr>
                <w:lang w:val="de-CH"/>
              </w:rPr>
              <w:t xml:space="preserve">Au </w:t>
            </w:r>
            <w:proofErr w:type="spellStart"/>
            <w:r>
              <w:rPr>
                <w:lang w:val="de-CH"/>
              </w:rPr>
              <w:t>nom</w:t>
            </w:r>
            <w:proofErr w:type="spellEnd"/>
            <w:r>
              <w:rPr>
                <w:lang w:val="de-CH"/>
              </w:rPr>
              <w:t xml:space="preserve"> du Conseil </w:t>
            </w:r>
            <w:proofErr w:type="spellStart"/>
            <w:r>
              <w:rPr>
                <w:lang w:val="de-CH"/>
              </w:rPr>
              <w:t>communal</w:t>
            </w:r>
            <w:proofErr w:type="spellEnd"/>
            <w:r>
              <w:rPr>
                <w:lang w:val="de-CH"/>
              </w:rPr>
              <w:t xml:space="preserve"> de A</w:t>
            </w:r>
          </w:p>
        </w:tc>
        <w:tc>
          <w:tcPr>
            <w:tcW w:w="5034" w:type="dxa"/>
          </w:tcPr>
          <w:p w:rsidR="0064353A" w:rsidRDefault="0064353A">
            <w:pPr>
              <w:spacing w:after="1200"/>
              <w:rPr>
                <w:lang w:val="de-CH"/>
              </w:rPr>
            </w:pPr>
            <w:r>
              <w:rPr>
                <w:lang w:val="de-CH"/>
              </w:rPr>
              <w:t xml:space="preserve">Au </w:t>
            </w:r>
            <w:proofErr w:type="spellStart"/>
            <w:r>
              <w:rPr>
                <w:lang w:val="de-CH"/>
              </w:rPr>
              <w:t>nom</w:t>
            </w:r>
            <w:proofErr w:type="spellEnd"/>
            <w:r>
              <w:rPr>
                <w:lang w:val="de-CH"/>
              </w:rPr>
              <w:t xml:space="preserve"> du Conseil </w:t>
            </w:r>
            <w:proofErr w:type="spellStart"/>
            <w:r>
              <w:rPr>
                <w:lang w:val="de-CH"/>
              </w:rPr>
              <w:t>communal</w:t>
            </w:r>
            <w:proofErr w:type="spellEnd"/>
            <w:r>
              <w:rPr>
                <w:lang w:val="de-CH"/>
              </w:rPr>
              <w:t xml:space="preserve"> de B</w:t>
            </w:r>
          </w:p>
        </w:tc>
      </w:tr>
      <w:tr w:rsidR="0064353A">
        <w:tblPrEx>
          <w:tblCellMar>
            <w:left w:w="71" w:type="dxa"/>
            <w:right w:w="71" w:type="dxa"/>
          </w:tblCellMar>
        </w:tblPrEx>
        <w:trPr>
          <w:cantSplit/>
        </w:trPr>
        <w:tc>
          <w:tcPr>
            <w:tcW w:w="4679" w:type="dxa"/>
            <w:gridSpan w:val="2"/>
          </w:tcPr>
          <w:p w:rsidR="0064353A" w:rsidRDefault="0064353A">
            <w:pPr>
              <w:spacing w:after="1200"/>
              <w:rPr>
                <w:lang w:val="de-CH"/>
              </w:rPr>
            </w:pPr>
            <w:r>
              <w:rPr>
                <w:lang w:val="de-CH"/>
              </w:rPr>
              <w:t xml:space="preserve">Au </w:t>
            </w:r>
            <w:proofErr w:type="spellStart"/>
            <w:r>
              <w:rPr>
                <w:lang w:val="de-CH"/>
              </w:rPr>
              <w:t>nom</w:t>
            </w:r>
            <w:proofErr w:type="spellEnd"/>
            <w:r>
              <w:rPr>
                <w:lang w:val="de-CH"/>
              </w:rPr>
              <w:t xml:space="preserve"> du Conseil </w:t>
            </w:r>
            <w:proofErr w:type="spellStart"/>
            <w:r>
              <w:rPr>
                <w:lang w:val="de-CH"/>
              </w:rPr>
              <w:t>communal</w:t>
            </w:r>
            <w:proofErr w:type="spellEnd"/>
            <w:r>
              <w:rPr>
                <w:lang w:val="de-CH"/>
              </w:rPr>
              <w:t xml:space="preserve"> de C</w:t>
            </w:r>
          </w:p>
        </w:tc>
        <w:tc>
          <w:tcPr>
            <w:tcW w:w="5034" w:type="dxa"/>
          </w:tcPr>
          <w:p w:rsidR="0064353A" w:rsidRDefault="0064353A">
            <w:pPr>
              <w:spacing w:after="1200"/>
              <w:rPr>
                <w:lang w:val="de-CH"/>
              </w:rPr>
            </w:pPr>
          </w:p>
        </w:tc>
      </w:tr>
    </w:tbl>
    <w:p w:rsidR="0064353A" w:rsidRDefault="0064353A"/>
    <w:sectPr w:rsidR="0064353A" w:rsidSect="0064353A">
      <w:footerReference w:type="default" r:id="rId7"/>
      <w:pgSz w:w="11907" w:h="16840" w:code="9"/>
      <w:pgMar w:top="1418" w:right="1134" w:bottom="1134" w:left="1134" w:header="851"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53A" w:rsidRDefault="0064353A">
      <w:r>
        <w:separator/>
      </w:r>
    </w:p>
  </w:endnote>
  <w:endnote w:type="continuationSeparator" w:id="0">
    <w:p w:rsidR="0064353A" w:rsidRDefault="0064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3A" w:rsidRDefault="006435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53A" w:rsidRDefault="0064353A">
      <w:r>
        <w:separator/>
      </w:r>
    </w:p>
  </w:footnote>
  <w:footnote w:type="continuationSeparator" w:id="0">
    <w:p w:rsidR="0064353A" w:rsidRDefault="0064353A">
      <w:r>
        <w:continuationSeparator/>
      </w:r>
    </w:p>
  </w:footnote>
  <w:footnote w:id="1">
    <w:p w:rsidR="0064353A" w:rsidRDefault="0064353A">
      <w:pPr>
        <w:pStyle w:val="Notedebasdepage"/>
      </w:pPr>
      <w:r>
        <w:rPr>
          <w:rStyle w:val="Appelnotedebasdep"/>
        </w:rPr>
        <w:sym w:font="Symbol" w:char="F02A"/>
      </w:r>
      <w:r>
        <w:t xml:space="preserve"> </w:t>
      </w:r>
      <w:r>
        <w:rPr>
          <w:b/>
          <w:bCs/>
        </w:rPr>
        <w:t>Note:</w:t>
      </w:r>
      <w:r>
        <w:t xml:space="preserve"> Les dispositions en caractère normal font en principe partie des indications qui doivent obligatoirement figurer dans la convention, en vertu de l'article 20 du règlement d'application de la loi sur le fonds d'aide aux communes (RALFAC), du 22 octobre 2003 (RSN 172.410).</w:t>
      </w:r>
    </w:p>
    <w:p w:rsidR="0064353A" w:rsidRDefault="0064353A">
      <w:pPr>
        <w:pStyle w:val="Notedebasdepage"/>
      </w:pPr>
    </w:p>
    <w:p w:rsidR="0064353A" w:rsidRDefault="0064353A">
      <w:pPr>
        <w:pStyle w:val="Notedebasdepage"/>
      </w:pPr>
      <w:r>
        <w:t>Les dispositions en italique sont facultatives et ne sont indiquées qu'à titre d'exemple.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19C4"/>
    <w:multiLevelType w:val="singleLevel"/>
    <w:tmpl w:val="750A7EC6"/>
    <w:lvl w:ilvl="0">
      <w:start w:val="2"/>
      <w:numFmt w:val="decimal"/>
      <w:lvlText w:val="3.%1"/>
      <w:legacy w:legacy="1" w:legacySpace="284" w:legacyIndent="0"/>
      <w:lvlJc w:val="left"/>
      <w:rPr>
        <w:rFonts w:ascii="Arial" w:hAnsi="Arial" w:cs="Times New Roman" w:hint="default"/>
        <w:b/>
        <w:i w:val="0"/>
        <w:sz w:val="22"/>
      </w:rPr>
    </w:lvl>
  </w:abstractNum>
  <w:abstractNum w:abstractNumId="1" w15:restartNumberingAfterBreak="0">
    <w:nsid w:val="02577B8A"/>
    <w:multiLevelType w:val="hybridMultilevel"/>
    <w:tmpl w:val="78329310"/>
    <w:lvl w:ilvl="0" w:tplc="1DD61C42">
      <w:start w:val="3"/>
      <w:numFmt w:val="decimal"/>
      <w:lvlText w:val="2.%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D9583C"/>
    <w:multiLevelType w:val="singleLevel"/>
    <w:tmpl w:val="BDAE2EF6"/>
    <w:lvl w:ilvl="0">
      <w:start w:val="3"/>
      <w:numFmt w:val="decimal"/>
      <w:lvlText w:val="2.%1"/>
      <w:lvlJc w:val="left"/>
      <w:pPr>
        <w:tabs>
          <w:tab w:val="num" w:pos="360"/>
        </w:tabs>
      </w:pPr>
      <w:rPr>
        <w:rFonts w:ascii="Arial" w:hAnsi="Arial" w:cs="Times New Roman" w:hint="default"/>
        <w:b/>
        <w:i w:val="0"/>
        <w:sz w:val="22"/>
      </w:rPr>
    </w:lvl>
  </w:abstractNum>
  <w:abstractNum w:abstractNumId="3" w15:restartNumberingAfterBreak="0">
    <w:nsid w:val="07637EC7"/>
    <w:multiLevelType w:val="singleLevel"/>
    <w:tmpl w:val="C30C4370"/>
    <w:lvl w:ilvl="0">
      <w:start w:val="1"/>
      <w:numFmt w:val="decimal"/>
      <w:lvlText w:val="1.%1"/>
      <w:legacy w:legacy="1" w:legacySpace="284" w:legacyIndent="0"/>
      <w:lvlJc w:val="left"/>
      <w:rPr>
        <w:rFonts w:ascii="Arial" w:hAnsi="Arial" w:cs="Times New Roman" w:hint="default"/>
        <w:b/>
        <w:i w:val="0"/>
        <w:sz w:val="22"/>
      </w:rPr>
    </w:lvl>
  </w:abstractNum>
  <w:abstractNum w:abstractNumId="4" w15:restartNumberingAfterBreak="0">
    <w:nsid w:val="1CDE2AB6"/>
    <w:multiLevelType w:val="singleLevel"/>
    <w:tmpl w:val="CFBC0150"/>
    <w:lvl w:ilvl="0">
      <w:start w:val="2"/>
      <w:numFmt w:val="decimal"/>
      <w:lvlText w:val="2.%1"/>
      <w:lvlJc w:val="left"/>
      <w:pPr>
        <w:tabs>
          <w:tab w:val="num" w:pos="360"/>
        </w:tabs>
      </w:pPr>
      <w:rPr>
        <w:rFonts w:ascii="Arial" w:hAnsi="Arial" w:cs="Times New Roman" w:hint="default"/>
        <w:b/>
        <w:i w:val="0"/>
        <w:sz w:val="22"/>
      </w:rPr>
    </w:lvl>
  </w:abstractNum>
  <w:abstractNum w:abstractNumId="5" w15:restartNumberingAfterBreak="0">
    <w:nsid w:val="1F9D76F7"/>
    <w:multiLevelType w:val="singleLevel"/>
    <w:tmpl w:val="56986C60"/>
    <w:lvl w:ilvl="0">
      <w:start w:val="1"/>
      <w:numFmt w:val="decimal"/>
      <w:lvlText w:val="6.%1"/>
      <w:legacy w:legacy="1" w:legacySpace="284" w:legacyIndent="0"/>
      <w:lvlJc w:val="left"/>
      <w:rPr>
        <w:rFonts w:ascii="Arial" w:hAnsi="Arial" w:cs="Times New Roman" w:hint="default"/>
        <w:b/>
        <w:i w:val="0"/>
        <w:sz w:val="22"/>
      </w:rPr>
    </w:lvl>
  </w:abstractNum>
  <w:abstractNum w:abstractNumId="6" w15:restartNumberingAfterBreak="0">
    <w:nsid w:val="27214864"/>
    <w:multiLevelType w:val="hybridMultilevel"/>
    <w:tmpl w:val="EF1CC6D0"/>
    <w:lvl w:ilvl="0" w:tplc="B8EA6612">
      <w:start w:val="1"/>
      <w:numFmt w:val="decimal"/>
      <w:lvlText w:val="2.%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4E743F"/>
    <w:multiLevelType w:val="hybridMultilevel"/>
    <w:tmpl w:val="EF2269C2"/>
    <w:lvl w:ilvl="0" w:tplc="F19CB488">
      <w:start w:val="6"/>
      <w:numFmt w:val="decimal"/>
      <w:lvlText w:val="4.%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E9322A"/>
    <w:multiLevelType w:val="hybridMultilevel"/>
    <w:tmpl w:val="89DC513C"/>
    <w:lvl w:ilvl="0" w:tplc="6FCE978C">
      <w:start w:val="1"/>
      <w:numFmt w:val="decimal"/>
      <w:lvlText w:val="2.%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FA343DA"/>
    <w:multiLevelType w:val="singleLevel"/>
    <w:tmpl w:val="9056D02A"/>
    <w:lvl w:ilvl="0">
      <w:start w:val="1"/>
      <w:numFmt w:val="decimal"/>
      <w:lvlText w:val="5.%1"/>
      <w:legacy w:legacy="1" w:legacySpace="284" w:legacyIndent="0"/>
      <w:lvlJc w:val="left"/>
      <w:rPr>
        <w:rFonts w:ascii="Arial" w:hAnsi="Arial" w:cs="Times New Roman" w:hint="default"/>
        <w:b/>
        <w:i w:val="0"/>
        <w:sz w:val="22"/>
      </w:rPr>
    </w:lvl>
  </w:abstractNum>
  <w:abstractNum w:abstractNumId="10" w15:restartNumberingAfterBreak="0">
    <w:nsid w:val="346D7F81"/>
    <w:multiLevelType w:val="singleLevel"/>
    <w:tmpl w:val="BE4885E2"/>
    <w:lvl w:ilvl="0">
      <w:start w:val="4"/>
      <w:numFmt w:val="decimal"/>
      <w:lvlText w:val="1.%1"/>
      <w:legacy w:legacy="1" w:legacySpace="284" w:legacyIndent="0"/>
      <w:lvlJc w:val="left"/>
      <w:rPr>
        <w:rFonts w:ascii="Arial" w:hAnsi="Arial" w:cs="Times New Roman" w:hint="default"/>
        <w:b/>
        <w:i w:val="0"/>
        <w:sz w:val="22"/>
      </w:rPr>
    </w:lvl>
  </w:abstractNum>
  <w:abstractNum w:abstractNumId="11" w15:restartNumberingAfterBreak="0">
    <w:nsid w:val="36D707AF"/>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abstractNum w:abstractNumId="12" w15:restartNumberingAfterBreak="0">
    <w:nsid w:val="3FD921D0"/>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abstractNum w:abstractNumId="13" w15:restartNumberingAfterBreak="0">
    <w:nsid w:val="48244B70"/>
    <w:multiLevelType w:val="singleLevel"/>
    <w:tmpl w:val="886400EA"/>
    <w:lvl w:ilvl="0">
      <w:start w:val="2"/>
      <w:numFmt w:val="decimal"/>
      <w:lvlText w:val="1.%1"/>
      <w:legacy w:legacy="1" w:legacySpace="284" w:legacyIndent="0"/>
      <w:lvlJc w:val="left"/>
      <w:rPr>
        <w:rFonts w:ascii="Arial" w:hAnsi="Arial" w:cs="Times New Roman" w:hint="default"/>
        <w:b/>
        <w:i w:val="0"/>
        <w:sz w:val="22"/>
      </w:rPr>
    </w:lvl>
  </w:abstractNum>
  <w:abstractNum w:abstractNumId="14" w15:restartNumberingAfterBreak="0">
    <w:nsid w:val="514C1C24"/>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abstractNum w:abstractNumId="15" w15:restartNumberingAfterBreak="0">
    <w:nsid w:val="5290321B"/>
    <w:multiLevelType w:val="singleLevel"/>
    <w:tmpl w:val="C6CE86EE"/>
    <w:lvl w:ilvl="0">
      <w:start w:val="1"/>
      <w:numFmt w:val="decimal"/>
      <w:lvlText w:val="4.%1"/>
      <w:legacy w:legacy="1" w:legacySpace="284" w:legacyIndent="0"/>
      <w:lvlJc w:val="left"/>
      <w:rPr>
        <w:rFonts w:ascii="Arial" w:hAnsi="Arial" w:cs="Times New Roman" w:hint="default"/>
        <w:b/>
        <w:i w:val="0"/>
        <w:sz w:val="22"/>
      </w:rPr>
    </w:lvl>
  </w:abstractNum>
  <w:abstractNum w:abstractNumId="16" w15:restartNumberingAfterBreak="0">
    <w:nsid w:val="5F75691C"/>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abstractNum w:abstractNumId="17" w15:restartNumberingAfterBreak="0">
    <w:nsid w:val="62DA0D91"/>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abstractNum w:abstractNumId="18" w15:restartNumberingAfterBreak="0">
    <w:nsid w:val="6D286C65"/>
    <w:multiLevelType w:val="multilevel"/>
    <w:tmpl w:val="B20870CA"/>
    <w:lvl w:ilvl="0">
      <w:start w:val="1"/>
      <w:numFmt w:val="decimal"/>
      <w:lvlText w:val="2.%1"/>
      <w:lvlJc w:val="left"/>
      <w:pPr>
        <w:tabs>
          <w:tab w:val="num" w:pos="360"/>
        </w:tabs>
      </w:pPr>
      <w:rPr>
        <w:rFonts w:ascii="Arial" w:hAnsi="Arial" w:cs="Times New Roman" w:hint="default"/>
        <w:b/>
        <w:i w:val="0"/>
        <w:sz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063608C"/>
    <w:multiLevelType w:val="singleLevel"/>
    <w:tmpl w:val="6200EFB2"/>
    <w:lvl w:ilvl="0">
      <w:start w:val="1"/>
      <w:numFmt w:val="decimal"/>
      <w:lvlText w:val="3.%1"/>
      <w:legacy w:legacy="1" w:legacySpace="284" w:legacyIndent="0"/>
      <w:lvlJc w:val="left"/>
      <w:rPr>
        <w:rFonts w:ascii="Arial" w:hAnsi="Arial" w:cs="Times New Roman" w:hint="default"/>
        <w:b/>
        <w:i w:val="0"/>
        <w:sz w:val="22"/>
      </w:rPr>
    </w:lvl>
  </w:abstractNum>
  <w:abstractNum w:abstractNumId="20" w15:restartNumberingAfterBreak="0">
    <w:nsid w:val="76A144F5"/>
    <w:multiLevelType w:val="singleLevel"/>
    <w:tmpl w:val="43CA2C70"/>
    <w:lvl w:ilvl="0">
      <w:start w:val="1"/>
      <w:numFmt w:val="decimal"/>
      <w:lvlText w:val="2.%1"/>
      <w:legacy w:legacy="1" w:legacySpace="284" w:legacyIndent="0"/>
      <w:lvlJc w:val="left"/>
      <w:rPr>
        <w:rFonts w:ascii="Arial" w:hAnsi="Arial" w:cs="Times New Roman" w:hint="default"/>
        <w:b/>
        <w:i w:val="0"/>
        <w:sz w:val="22"/>
      </w:rPr>
    </w:lvl>
  </w:abstractNum>
  <w:abstractNum w:abstractNumId="21" w15:restartNumberingAfterBreak="0">
    <w:nsid w:val="796C6438"/>
    <w:multiLevelType w:val="hybridMultilevel"/>
    <w:tmpl w:val="DB96C808"/>
    <w:lvl w:ilvl="0" w:tplc="942A97B4">
      <w:start w:val="3"/>
      <w:numFmt w:val="decimal"/>
      <w:lvlText w:val="2.%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BB81AC7"/>
    <w:multiLevelType w:val="hybridMultilevel"/>
    <w:tmpl w:val="0EB23010"/>
    <w:lvl w:ilvl="0" w:tplc="C6987368">
      <w:start w:val="6"/>
      <w:numFmt w:val="decimal"/>
      <w:lvlText w:val="4.%1"/>
      <w:lvlJc w:val="left"/>
      <w:pPr>
        <w:tabs>
          <w:tab w:val="num" w:pos="360"/>
        </w:tabs>
      </w:pPr>
      <w:rPr>
        <w:rFonts w:ascii="Arial" w:hAnsi="Arial" w:cs="Times New Roman" w:hint="default"/>
        <w:b/>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D8E7A48"/>
    <w:multiLevelType w:val="singleLevel"/>
    <w:tmpl w:val="A9B29A76"/>
    <w:lvl w:ilvl="0">
      <w:start w:val="1"/>
      <w:numFmt w:val="none"/>
      <w:lvlText w:val=""/>
      <w:legacy w:legacy="1" w:legacySpace="0" w:legacyIndent="0"/>
      <w:lvlJc w:val="center"/>
      <w:rPr>
        <w:rFonts w:ascii="Courier New" w:hAnsi="Courier New" w:cs="Times New Roman" w:hint="default"/>
        <w:b/>
        <w:i w:val="0"/>
        <w:sz w:val="22"/>
      </w:rPr>
    </w:lvl>
  </w:abstractNum>
  <w:num w:numId="1">
    <w:abstractNumId w:val="14"/>
  </w:num>
  <w:num w:numId="2">
    <w:abstractNumId w:val="3"/>
  </w:num>
  <w:num w:numId="3">
    <w:abstractNumId w:val="13"/>
  </w:num>
  <w:num w:numId="4">
    <w:abstractNumId w:val="10"/>
  </w:num>
  <w:num w:numId="5">
    <w:abstractNumId w:val="16"/>
  </w:num>
  <w:num w:numId="6">
    <w:abstractNumId w:val="20"/>
  </w:num>
  <w:num w:numId="7">
    <w:abstractNumId w:val="4"/>
  </w:num>
  <w:num w:numId="8">
    <w:abstractNumId w:val="2"/>
  </w:num>
  <w:num w:numId="9">
    <w:abstractNumId w:val="11"/>
  </w:num>
  <w:num w:numId="10">
    <w:abstractNumId w:val="19"/>
  </w:num>
  <w:num w:numId="11">
    <w:abstractNumId w:val="0"/>
  </w:num>
  <w:num w:numId="12">
    <w:abstractNumId w:val="0"/>
    <w:lvlOverride w:ilvl="0">
      <w:lvl w:ilvl="0">
        <w:start w:val="1"/>
        <w:numFmt w:val="decimal"/>
        <w:lvlText w:val="3.%1"/>
        <w:legacy w:legacy="1" w:legacySpace="284" w:legacyIndent="0"/>
        <w:lvlJc w:val="left"/>
        <w:rPr>
          <w:rFonts w:ascii="Arial" w:hAnsi="Arial" w:cs="Times New Roman" w:hint="default"/>
          <w:b/>
          <w:i w:val="0"/>
          <w:sz w:val="22"/>
        </w:rPr>
      </w:lvl>
    </w:lvlOverride>
  </w:num>
  <w:num w:numId="13">
    <w:abstractNumId w:val="23"/>
  </w:num>
  <w:num w:numId="14">
    <w:abstractNumId w:val="15"/>
  </w:num>
  <w:num w:numId="15">
    <w:abstractNumId w:val="17"/>
  </w:num>
  <w:num w:numId="16">
    <w:abstractNumId w:val="9"/>
  </w:num>
  <w:num w:numId="17">
    <w:abstractNumId w:val="12"/>
  </w:num>
  <w:num w:numId="18">
    <w:abstractNumId w:val="5"/>
  </w:num>
  <w:num w:numId="19">
    <w:abstractNumId w:val="18"/>
  </w:num>
  <w:num w:numId="20">
    <w:abstractNumId w:val="1"/>
  </w:num>
  <w:num w:numId="21">
    <w:abstractNumId w:val="21"/>
  </w:num>
  <w:num w:numId="22">
    <w:abstractNumId w:val="7"/>
  </w:num>
  <w:num w:numId="23">
    <w:abstractNumId w:val="22"/>
  </w:num>
  <w:num w:numId="24">
    <w:abstractNumId w:val="6"/>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intFractionalCharacterWidth/>
  <w:proofState w:spelling="clean" w:grammar="clean"/>
  <w:doNotTrackMoves/>
  <w:defaultTabStop w:val="397"/>
  <w:hyphenationZone w:val="5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353A"/>
    <w:rsid w:val="00315CD1"/>
    <w:rsid w:val="0064353A"/>
    <w:rsid w:val="006472B8"/>
    <w:rsid w:val="007D69F4"/>
    <w:rsid w:val="00E32FA5"/>
    <w:rsid w:val="00F27654"/>
    <w:rsid w:val="00FA0E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7E151"/>
  <w15:docId w15:val="{E1269B54-7FD2-40A5-8056-5CDF85B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lang w:val="fr-FR" w:eastAsia="fr-FR"/>
    </w:rPr>
  </w:style>
  <w:style w:type="paragraph" w:styleId="Titre2">
    <w:name w:val="heading 2"/>
    <w:basedOn w:val="Normal"/>
    <w:next w:val="Normal"/>
    <w:link w:val="Titre2Car"/>
    <w:uiPriority w:val="9"/>
    <w:qFormat/>
    <w:pPr>
      <w:keepNext/>
      <w:spacing w:before="240" w:after="60"/>
      <w:outlineLvl w:val="1"/>
    </w:pPr>
    <w:rPr>
      <w:rFonts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64353A"/>
    <w:rPr>
      <w:rFonts w:asciiTheme="majorHAnsi" w:eastAsiaTheme="majorEastAsia" w:hAnsiTheme="majorHAnsi" w:cstheme="majorBidi"/>
      <w:b/>
      <w:bCs/>
      <w:i/>
      <w:iCs/>
      <w:sz w:val="28"/>
      <w:szCs w:val="28"/>
      <w:lang w:val="fr-FR" w:eastAsia="fr-FR"/>
    </w:rPr>
  </w:style>
  <w:style w:type="paragraph" w:customStyle="1" w:styleId="rgtcomm">
    <w:name w:val="rgtcomm"/>
    <w:basedOn w:val="En-tte"/>
    <w:pPr>
      <w:tabs>
        <w:tab w:val="clear" w:pos="4536"/>
        <w:tab w:val="clear" w:pos="9072"/>
      </w:tabs>
      <w:spacing w:before="3840" w:after="2880" w:line="480" w:lineRule="atLeast"/>
      <w:jc w:val="center"/>
    </w:pPr>
    <w:rPr>
      <w:b/>
      <w:sz w:val="24"/>
      <w:u w:val="single"/>
    </w:rPr>
  </w:style>
  <w:style w:type="paragraph" w:styleId="En-tte">
    <w:name w:val="header"/>
    <w:basedOn w:val="Normal"/>
    <w:link w:val="En-tteCar"/>
    <w:uiPriority w:val="99"/>
    <w:semiHidden/>
    <w:pPr>
      <w:tabs>
        <w:tab w:val="center" w:pos="4536"/>
        <w:tab w:val="right" w:pos="9072"/>
      </w:tabs>
    </w:pPr>
  </w:style>
  <w:style w:type="character" w:customStyle="1" w:styleId="En-tteCar">
    <w:name w:val="En-tête Car"/>
    <w:basedOn w:val="Policepardfaut"/>
    <w:link w:val="En-tte"/>
    <w:uiPriority w:val="99"/>
    <w:semiHidden/>
    <w:rsid w:val="0064353A"/>
    <w:rPr>
      <w:rFonts w:ascii="Arial" w:hAnsi="Arial"/>
      <w:sz w:val="22"/>
      <w:lang w:val="fr-FR" w:eastAsia="fr-FR"/>
    </w:rPr>
  </w:style>
  <w:style w:type="paragraph" w:customStyle="1" w:styleId="rgtchapn">
    <w:name w:val="rgtchapn"/>
    <w:basedOn w:val="Normal"/>
    <w:next w:val="rgtcont"/>
    <w:pPr>
      <w:spacing w:after="1200"/>
      <w:jc w:val="center"/>
    </w:pPr>
    <w:rPr>
      <w:b/>
    </w:rPr>
  </w:style>
  <w:style w:type="paragraph" w:customStyle="1" w:styleId="rgtcont">
    <w:name w:val="rgtcont"/>
    <w:basedOn w:val="Normal"/>
    <w:pPr>
      <w:spacing w:after="720"/>
      <w:jc w:val="center"/>
    </w:pPr>
    <w:rPr>
      <w:b/>
    </w:rPr>
  </w:style>
  <w:style w:type="paragraph" w:customStyle="1" w:styleId="rgtart1p">
    <w:name w:val="rgtart1p"/>
    <w:basedOn w:val="Normal"/>
    <w:pPr>
      <w:spacing w:after="480"/>
      <w:jc w:val="both"/>
    </w:pPr>
    <w:rPr>
      <w:sz w:val="24"/>
    </w:rPr>
  </w:style>
  <w:style w:type="paragraph" w:customStyle="1" w:styleId="rgtartxp">
    <w:name w:val="rgtartxp"/>
    <w:basedOn w:val="Normal"/>
    <w:pPr>
      <w:spacing w:after="240"/>
      <w:jc w:val="both"/>
    </w:pPr>
  </w:style>
  <w:style w:type="paragraph" w:customStyle="1" w:styleId="rgtadopte">
    <w:name w:val="rgtadopte"/>
    <w:basedOn w:val="rgtchapn"/>
    <w:pPr>
      <w:spacing w:before="960" w:after="480"/>
      <w:jc w:val="left"/>
    </w:pPr>
  </w:style>
  <w:style w:type="paragraph" w:customStyle="1" w:styleId="rgtart1l">
    <w:name w:val="rgtart1l"/>
    <w:basedOn w:val="rgtartxp"/>
    <w:pPr>
      <w:spacing w:after="0"/>
    </w:p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64353A"/>
    <w:rPr>
      <w:rFonts w:ascii="Arial" w:hAnsi="Arial"/>
      <w:sz w:val="22"/>
      <w:lang w:val="fr-FR" w:eastAsia="fr-FR"/>
    </w:rPr>
  </w:style>
  <w:style w:type="paragraph" w:customStyle="1" w:styleId="titre">
    <w:name w:val="titre"/>
    <w:basedOn w:val="Normal"/>
    <w:pPr>
      <w:spacing w:after="1200"/>
      <w:jc w:val="center"/>
    </w:pPr>
    <w:rPr>
      <w:b/>
      <w:sz w:val="28"/>
      <w:u w:val="single"/>
    </w:rPr>
  </w:style>
  <w:style w:type="character" w:styleId="Numrodepage">
    <w:name w:val="page number"/>
    <w:basedOn w:val="Policepardfaut"/>
    <w:uiPriority w:val="99"/>
    <w:semiHidden/>
    <w:rPr>
      <w:rFonts w:cs="Times New Roman"/>
    </w:rPr>
  </w:style>
  <w:style w:type="paragraph" w:customStyle="1" w:styleId="rgttm">
    <w:name w:val="rgttm"/>
    <w:basedOn w:val="Normal"/>
    <w:pPr>
      <w:spacing w:after="720"/>
      <w:jc w:val="center"/>
    </w:pPr>
    <w:rPr>
      <w:u w:val="single"/>
    </w:rPr>
  </w:style>
  <w:style w:type="paragraph" w:customStyle="1" w:styleId="tmchap1">
    <w:name w:val="tmchap1"/>
    <w:basedOn w:val="Normal"/>
    <w:pPr>
      <w:spacing w:after="720"/>
      <w:ind w:left="1191" w:hanging="1191"/>
    </w:pPr>
    <w:rPr>
      <w:b/>
    </w:rPr>
  </w:style>
  <w:style w:type="paragraph" w:customStyle="1" w:styleId="tmchap2">
    <w:name w:val="tmchap2"/>
    <w:basedOn w:val="Normal"/>
    <w:pPr>
      <w:spacing w:before="720" w:after="720"/>
      <w:ind w:left="1191" w:hanging="1191"/>
    </w:pPr>
    <w:rPr>
      <w:b/>
    </w:rPr>
  </w:style>
  <w:style w:type="paragraph" w:customStyle="1" w:styleId="tmchap3">
    <w:name w:val="tmchap3"/>
    <w:basedOn w:val="Normal"/>
    <w:pPr>
      <w:spacing w:before="720" w:after="720"/>
      <w:ind w:left="1191" w:hanging="1191"/>
    </w:pPr>
    <w:rPr>
      <w:b/>
    </w:rPr>
  </w:style>
  <w:style w:type="paragraph" w:customStyle="1" w:styleId="tmchap4">
    <w:name w:val="tmchap4"/>
    <w:basedOn w:val="Normal"/>
    <w:pPr>
      <w:spacing w:after="720"/>
      <w:ind w:left="1191" w:hanging="1191"/>
    </w:pPr>
    <w:rPr>
      <w:b/>
    </w:rPr>
  </w:style>
  <w:style w:type="paragraph" w:customStyle="1" w:styleId="tmchap5">
    <w:name w:val="tmchap5"/>
    <w:basedOn w:val="Normal"/>
    <w:pPr>
      <w:spacing w:before="720" w:after="720"/>
      <w:ind w:left="1191" w:hanging="1191"/>
    </w:pPr>
    <w:rPr>
      <w:b/>
    </w:rPr>
  </w:style>
  <w:style w:type="paragraph" w:customStyle="1" w:styleId="tmchap6">
    <w:name w:val="tmchap6"/>
    <w:basedOn w:val="Normal"/>
    <w:pPr>
      <w:spacing w:before="720" w:after="720"/>
      <w:ind w:left="1191" w:hanging="1191"/>
    </w:pPr>
    <w:rPr>
      <w:b/>
    </w:rPr>
  </w:style>
  <w:style w:type="paragraph" w:customStyle="1" w:styleId="tmchap7">
    <w:name w:val="tmchap7"/>
    <w:basedOn w:val="Normal"/>
    <w:pPr>
      <w:spacing w:after="720"/>
      <w:ind w:left="1304" w:hanging="1304"/>
    </w:pPr>
    <w:rPr>
      <w:b/>
    </w:rPr>
  </w:style>
  <w:style w:type="paragraph" w:customStyle="1" w:styleId="tmchap8">
    <w:name w:val="tmchap8"/>
    <w:basedOn w:val="Normal"/>
    <w:pPr>
      <w:spacing w:before="720" w:after="720"/>
      <w:ind w:left="1191" w:hanging="1191"/>
    </w:pPr>
    <w:rPr>
      <w:b/>
    </w:rPr>
  </w:style>
  <w:style w:type="paragraph" w:customStyle="1" w:styleId="tmchap9">
    <w:name w:val="tmchap9"/>
    <w:basedOn w:val="Normal"/>
    <w:pPr>
      <w:spacing w:before="720" w:after="720"/>
      <w:ind w:left="1191" w:hanging="1191"/>
    </w:pPr>
    <w:rPr>
      <w:b/>
    </w:rPr>
  </w:style>
  <w:style w:type="paragraph" w:customStyle="1" w:styleId="tmchap10">
    <w:name w:val="tmchap10"/>
    <w:basedOn w:val="Normal"/>
    <w:pPr>
      <w:spacing w:after="720"/>
      <w:ind w:left="1304" w:hanging="1304"/>
    </w:pPr>
    <w:rPr>
      <w:b/>
    </w:rPr>
  </w:style>
  <w:style w:type="paragraph" w:customStyle="1" w:styleId="tmchap11">
    <w:name w:val="tmchap11"/>
    <w:basedOn w:val="Normal"/>
    <w:pPr>
      <w:spacing w:before="720" w:after="720"/>
      <w:ind w:left="1304" w:hanging="1304"/>
    </w:pPr>
    <w:rPr>
      <w:b/>
    </w:rPr>
  </w:style>
  <w:style w:type="paragraph" w:customStyle="1" w:styleId="tmchap12">
    <w:name w:val="tmchap12"/>
    <w:basedOn w:val="Normal"/>
    <w:pPr>
      <w:spacing w:before="720" w:after="720"/>
      <w:ind w:left="1304" w:hanging="1304"/>
    </w:pPr>
    <w:rPr>
      <w:b/>
    </w:rPr>
  </w:style>
  <w:style w:type="paragraph" w:customStyle="1" w:styleId="tmchap13">
    <w:name w:val="tmchap13"/>
    <w:basedOn w:val="Normal"/>
    <w:pPr>
      <w:spacing w:before="720" w:after="720"/>
      <w:ind w:left="1361" w:hanging="1361"/>
    </w:pPr>
    <w:rPr>
      <w:b/>
    </w:rPr>
  </w:style>
  <w:style w:type="paragraph" w:customStyle="1" w:styleId="tmchap14">
    <w:name w:val="tmchap14"/>
    <w:basedOn w:val="Normal"/>
    <w:pPr>
      <w:spacing w:before="720" w:after="720"/>
      <w:ind w:left="1304" w:hanging="1304"/>
    </w:pPr>
    <w:rPr>
      <w:b/>
    </w:rPr>
  </w:style>
  <w:style w:type="paragraph" w:styleId="Notedebasdepage">
    <w:name w:val="footnote text"/>
    <w:basedOn w:val="Normal"/>
    <w:link w:val="NotedebasdepageCar"/>
    <w:uiPriority w:val="99"/>
    <w:semiHidden/>
    <w:rPr>
      <w:sz w:val="20"/>
    </w:rPr>
  </w:style>
  <w:style w:type="character" w:customStyle="1" w:styleId="NotedebasdepageCar">
    <w:name w:val="Note de bas de page Car"/>
    <w:basedOn w:val="Policepardfaut"/>
    <w:link w:val="Notedebasdepage"/>
    <w:uiPriority w:val="99"/>
    <w:semiHidden/>
    <w:rsid w:val="0064353A"/>
    <w:rPr>
      <w:rFonts w:ascii="Arial" w:hAnsi="Arial"/>
      <w:lang w:val="fr-FR" w:eastAsia="fr-FR"/>
    </w:rPr>
  </w:style>
  <w:style w:type="character" w:styleId="Appelnotedebasdep">
    <w:name w:val="footnote reference"/>
    <w:basedOn w:val="Policepardfaut"/>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D6BB5DC1.dotm</Template>
  <TotalTime>648</TotalTime>
  <Pages>7</Pages>
  <Words>1562</Words>
  <Characters>8594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Modèle de convention de fusion de communes</vt:lpstr>
    </vt:vector>
  </TitlesOfParts>
  <Company>Etat de Neuchâtel</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de fusion de communes</dc:title>
  <dc:subject/>
  <dc:creator>Marie-Madeleine Schenkel</dc:creator>
  <cp:keywords/>
  <dc:description/>
  <cp:lastModifiedBy>Gattolliat Sylvie</cp:lastModifiedBy>
  <cp:revision>42</cp:revision>
  <cp:lastPrinted>2020-01-30T13:45:00Z</cp:lastPrinted>
  <dcterms:created xsi:type="dcterms:W3CDTF">2006-08-29T13:21:00Z</dcterms:created>
  <dcterms:modified xsi:type="dcterms:W3CDTF">2020-01-30T13:45:00Z</dcterms:modified>
</cp:coreProperties>
</file>