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DD2" w:rsidRDefault="003F3DD2">
      <w:pPr>
        <w:pStyle w:val="ParNorm"/>
        <w:pBdr>
          <w:top w:val="single" w:sz="6" w:space="16" w:color="auto"/>
          <w:left w:val="single" w:sz="6" w:space="16" w:color="auto"/>
          <w:bottom w:val="single" w:sz="6" w:space="16" w:color="auto"/>
          <w:right w:val="single" w:sz="6" w:space="16" w:color="auto"/>
        </w:pBdr>
        <w:spacing w:before="240"/>
        <w:ind w:left="284" w:right="284"/>
        <w:jc w:val="center"/>
        <w:rPr>
          <w:b/>
          <w:sz w:val="28"/>
        </w:rPr>
      </w:pPr>
      <w:r>
        <w:rPr>
          <w:b/>
          <w:i/>
          <w:sz w:val="28"/>
        </w:rPr>
        <w:t xml:space="preserve">MODELE D'ARRETE DU CONSEIL </w:t>
      </w:r>
      <w:r w:rsidR="00991B36">
        <w:rPr>
          <w:b/>
          <w:i/>
          <w:sz w:val="28"/>
        </w:rPr>
        <w:t>GÉNÉRAL</w:t>
      </w:r>
      <w:r>
        <w:rPr>
          <w:b/>
          <w:i/>
          <w:sz w:val="28"/>
        </w:rPr>
        <w:t xml:space="preserve"> NO 24</w:t>
      </w:r>
    </w:p>
    <w:p w:rsidR="003F3DD2" w:rsidRDefault="003F3DD2">
      <w:pPr>
        <w:pStyle w:val="ParNorm"/>
        <w:spacing w:before="600" w:after="840" w:line="360" w:lineRule="auto"/>
        <w:rPr>
          <w:b/>
          <w:caps/>
        </w:rPr>
      </w:pPr>
      <w:r>
        <w:rPr>
          <w:b/>
          <w:caps/>
        </w:rPr>
        <w:t>Fixation du coefficient d'imp</w:t>
      </w:r>
      <w:r w:rsidR="00991B36">
        <w:rPr>
          <w:b/>
          <w:caps/>
        </w:rPr>
        <w:t>Ô</w:t>
      </w:r>
      <w:r>
        <w:rPr>
          <w:b/>
          <w:caps/>
        </w:rPr>
        <w:t>t</w:t>
      </w:r>
    </w:p>
    <w:p w:rsidR="003F3DD2" w:rsidRDefault="003F3DD2">
      <w:pPr>
        <w:pStyle w:val="ParNorm"/>
      </w:pPr>
      <w:r>
        <w:t xml:space="preserve">LE CONSEIL </w:t>
      </w:r>
      <w:r w:rsidR="00991B36">
        <w:t>GÉNÉRAL</w:t>
      </w:r>
    </w:p>
    <w:p w:rsidR="003F3DD2" w:rsidRDefault="003F3DD2">
      <w:pPr>
        <w:pStyle w:val="ParNorm"/>
      </w:pPr>
      <w:r>
        <w:t>vu le rapport du Conseil communal, du ....;</w:t>
      </w:r>
    </w:p>
    <w:p w:rsidR="003F3DD2" w:rsidRDefault="003F3DD2">
      <w:pPr>
        <w:pStyle w:val="ParNorm"/>
      </w:pPr>
      <w:r>
        <w:t>vu la loi sur les contributions directes, du 21 mars 2000 (LCdir);</w:t>
      </w:r>
    </w:p>
    <w:p w:rsidR="003F3DD2" w:rsidRDefault="003F3DD2">
      <w:pPr>
        <w:pStyle w:val="ParNorm"/>
      </w:pPr>
      <w:r>
        <w:t>vu la loi sur les communes, du 21 décembre 1964;</w:t>
      </w:r>
    </w:p>
    <w:p w:rsidR="003F3DD2" w:rsidRDefault="003F3DD2">
      <w:pPr>
        <w:pStyle w:val="ParNorm"/>
        <w:spacing w:after="0"/>
      </w:pPr>
      <w:r>
        <w:t>sur la proposition du Conseil communal,</w:t>
      </w:r>
    </w:p>
    <w:p w:rsidR="003F3DD2" w:rsidRDefault="003F3DD2">
      <w:pPr>
        <w:pStyle w:val="ParArr"/>
        <w:spacing w:after="720"/>
        <w:ind w:left="0"/>
      </w:pPr>
      <w:r>
        <w:t>arrête:</w:t>
      </w:r>
    </w:p>
    <w:tbl>
      <w:tblPr>
        <w:tblW w:w="0" w:type="auto"/>
        <w:tblInd w:w="-68" w:type="dxa"/>
        <w:tblLayout w:type="fixed"/>
        <w:tblCellMar>
          <w:left w:w="70" w:type="dxa"/>
          <w:right w:w="70" w:type="dxa"/>
        </w:tblCellMar>
        <w:tblLook w:val="0000" w:firstRow="0" w:lastRow="0" w:firstColumn="0" w:lastColumn="0" w:noHBand="0" w:noVBand="0"/>
      </w:tblPr>
      <w:tblGrid>
        <w:gridCol w:w="1913"/>
        <w:gridCol w:w="6379"/>
      </w:tblGrid>
      <w:tr w:rsidR="003F3DD2">
        <w:trPr>
          <w:cantSplit/>
        </w:trPr>
        <w:tc>
          <w:tcPr>
            <w:tcW w:w="1913" w:type="dxa"/>
          </w:tcPr>
          <w:p w:rsidR="003F3DD2" w:rsidRDefault="003F3DD2">
            <w:pPr>
              <w:pStyle w:val="par1p"/>
              <w:spacing w:after="240"/>
              <w:jc w:val="left"/>
            </w:pPr>
            <w:r>
              <w:t>Revenu et fortune des personnes physiques</w:t>
            </w:r>
          </w:p>
        </w:tc>
        <w:tc>
          <w:tcPr>
            <w:tcW w:w="6379" w:type="dxa"/>
          </w:tcPr>
          <w:p w:rsidR="003F3DD2" w:rsidRDefault="003F3DD2">
            <w:pPr>
              <w:pStyle w:val="par1p"/>
              <w:spacing w:after="240"/>
            </w:pPr>
            <w:r>
              <w:rPr>
                <w:b/>
              </w:rPr>
              <w:t>Article premier   </w:t>
            </w:r>
            <w:r>
              <w:t xml:space="preserve">L'impôt direct communal sur le revenu et la fortune des personnes physiques est calculé conformément au barème unique de référence prévu aux articles 40 et 53 LCdir, multiplié par un coefficient de ...% </w:t>
            </w:r>
            <w:r>
              <w:rPr>
                <w:i/>
              </w:rPr>
              <w:t>(art. 3 et 268 LCdir)</w:t>
            </w:r>
            <w:r>
              <w:t>.</w:t>
            </w:r>
          </w:p>
        </w:tc>
      </w:tr>
      <w:tr w:rsidR="003F3DD2">
        <w:trPr>
          <w:cantSplit/>
        </w:trPr>
        <w:tc>
          <w:tcPr>
            <w:tcW w:w="1913" w:type="dxa"/>
          </w:tcPr>
          <w:p w:rsidR="003F3DD2" w:rsidRDefault="003F3DD2">
            <w:pPr>
              <w:pStyle w:val="parxp"/>
              <w:spacing w:after="480"/>
              <w:jc w:val="left"/>
            </w:pPr>
          </w:p>
        </w:tc>
        <w:tc>
          <w:tcPr>
            <w:tcW w:w="6379" w:type="dxa"/>
          </w:tcPr>
          <w:p w:rsidR="003F3DD2" w:rsidRDefault="003F3DD2">
            <w:pPr>
              <w:pStyle w:val="parxp"/>
              <w:spacing w:after="480"/>
            </w:pPr>
            <w:r>
              <w:t>(</w:t>
            </w:r>
            <w:r>
              <w:rPr>
                <w:i/>
              </w:rPr>
              <w:t>Le coefficient est indiqué en</w:t>
            </w:r>
            <w:r>
              <w:rPr>
                <w:i/>
                <w:vertAlign w:val="superscript"/>
              </w:rPr>
              <w:t xml:space="preserve"> </w:t>
            </w:r>
            <w:r>
              <w:rPr>
                <w:i/>
              </w:rPr>
              <w:t>pource</w:t>
            </w:r>
            <w:r w:rsidR="00991B36">
              <w:rPr>
                <w:i/>
              </w:rPr>
              <w:t>nt, éventuellement avec un chif</w:t>
            </w:r>
            <w:r>
              <w:rPr>
                <w:i/>
              </w:rPr>
              <w:t>fre - au maximum - derrière la virgule: par exemple 95,5 %)</w:t>
            </w:r>
          </w:p>
        </w:tc>
      </w:tr>
      <w:tr w:rsidR="003F3DD2">
        <w:trPr>
          <w:cantSplit/>
        </w:trPr>
        <w:tc>
          <w:tcPr>
            <w:tcW w:w="1913" w:type="dxa"/>
          </w:tcPr>
          <w:p w:rsidR="003F3DD2" w:rsidRDefault="003F3DD2">
            <w:pPr>
              <w:pStyle w:val="parxp"/>
              <w:spacing w:after="0"/>
              <w:jc w:val="left"/>
            </w:pPr>
            <w:r>
              <w:t>Prestations en capital</w:t>
            </w:r>
          </w:p>
        </w:tc>
        <w:tc>
          <w:tcPr>
            <w:tcW w:w="6379" w:type="dxa"/>
          </w:tcPr>
          <w:p w:rsidR="003F3DD2" w:rsidRDefault="003F3DD2" w:rsidP="00991B36">
            <w:pPr>
              <w:pStyle w:val="parxp"/>
            </w:pPr>
            <w:r>
              <w:rPr>
                <w:b/>
              </w:rPr>
              <w:t>Art 2   </w:t>
            </w:r>
            <w:r>
              <w:t>Les prestations en capital provenant de la prévoyance, ainsi que les sommes ver</w:t>
            </w:r>
            <w:r w:rsidR="00991B36">
              <w:t>sées ensuite de décès, de domma</w:t>
            </w:r>
            <w:r>
              <w:t>ges corporels permanents ou d'atteinte durable à la santé sont imposées séparément et soumises à un impôt annuel entier calculé sur la base du quart des taux prévus selon le barème mentionné à l'article premier ci-dessus, cela sous les trois réserves suivantes:</w:t>
            </w:r>
          </w:p>
        </w:tc>
      </w:tr>
      <w:tr w:rsidR="003F3DD2">
        <w:trPr>
          <w:cantSplit/>
        </w:trPr>
        <w:tc>
          <w:tcPr>
            <w:tcW w:w="1913" w:type="dxa"/>
          </w:tcPr>
          <w:p w:rsidR="003F3DD2" w:rsidRDefault="003F3DD2">
            <w:pPr>
              <w:pStyle w:val="parxp"/>
              <w:spacing w:after="0"/>
              <w:jc w:val="left"/>
            </w:pPr>
          </w:p>
        </w:tc>
        <w:tc>
          <w:tcPr>
            <w:tcW w:w="6379" w:type="dxa"/>
          </w:tcPr>
          <w:p w:rsidR="003F3DD2" w:rsidRDefault="003F3DD2">
            <w:pPr>
              <w:pStyle w:val="parxp"/>
              <w:ind w:left="425" w:hanging="425"/>
            </w:pPr>
            <w:r>
              <w:t>a)</w:t>
            </w:r>
            <w:r>
              <w:tab/>
              <w:t>le taux de l'impôt ne peut être inférieur à 2,5%;</w:t>
            </w:r>
          </w:p>
        </w:tc>
      </w:tr>
      <w:tr w:rsidR="003F3DD2">
        <w:trPr>
          <w:cantSplit/>
        </w:trPr>
        <w:tc>
          <w:tcPr>
            <w:tcW w:w="1913" w:type="dxa"/>
          </w:tcPr>
          <w:p w:rsidR="003F3DD2" w:rsidRDefault="003F3DD2">
            <w:pPr>
              <w:pStyle w:val="parxp"/>
              <w:spacing w:after="0"/>
              <w:jc w:val="left"/>
            </w:pPr>
          </w:p>
        </w:tc>
        <w:tc>
          <w:tcPr>
            <w:tcW w:w="6379" w:type="dxa"/>
          </w:tcPr>
          <w:p w:rsidR="003F3DD2" w:rsidRDefault="003F3DD2">
            <w:pPr>
              <w:pStyle w:val="parxp"/>
              <w:ind w:left="425" w:hanging="425"/>
            </w:pPr>
            <w:r>
              <w:t>b)</w:t>
            </w:r>
            <w:r>
              <w:tab/>
              <w:t>les déductions générales et les déductions sociales ne sont pas accordées;</w:t>
            </w:r>
          </w:p>
        </w:tc>
      </w:tr>
      <w:tr w:rsidR="003F3DD2">
        <w:trPr>
          <w:cantSplit/>
        </w:trPr>
        <w:tc>
          <w:tcPr>
            <w:tcW w:w="1913" w:type="dxa"/>
          </w:tcPr>
          <w:p w:rsidR="003F3DD2" w:rsidRDefault="003F3DD2">
            <w:pPr>
              <w:pStyle w:val="par1p"/>
              <w:jc w:val="left"/>
            </w:pPr>
          </w:p>
        </w:tc>
        <w:tc>
          <w:tcPr>
            <w:tcW w:w="6379" w:type="dxa"/>
          </w:tcPr>
          <w:p w:rsidR="003F3DD2" w:rsidRDefault="003F3DD2">
            <w:pPr>
              <w:pStyle w:val="par1p"/>
              <w:ind w:left="425" w:hanging="425"/>
            </w:pPr>
            <w:r>
              <w:t>c)</w:t>
            </w:r>
            <w:r>
              <w:tab/>
              <w:t xml:space="preserve">aucune réduction supplémentaire du taux n'est accordée </w:t>
            </w:r>
            <w:r>
              <w:rPr>
                <w:i/>
              </w:rPr>
              <w:t>(art. 42 et 266 LCdir)</w:t>
            </w:r>
            <w:r>
              <w:t>.</w:t>
            </w:r>
          </w:p>
        </w:tc>
      </w:tr>
    </w:tbl>
    <w:p w:rsidR="003F3DD2" w:rsidRDefault="003F3DD2">
      <w:pPr>
        <w:pStyle w:val="parxp"/>
        <w:spacing w:after="0"/>
        <w:jc w:val="left"/>
        <w:sectPr w:rsidR="003F3DD2">
          <w:pgSz w:w="11907" w:h="16840" w:code="9"/>
          <w:pgMar w:top="1418" w:right="1418" w:bottom="1418" w:left="2268" w:header="567" w:footer="567" w:gutter="0"/>
          <w:paperSrc w:first="2" w:other="2"/>
          <w:cols w:space="720"/>
        </w:sectPr>
      </w:pPr>
    </w:p>
    <w:tbl>
      <w:tblPr>
        <w:tblW w:w="0" w:type="auto"/>
        <w:tblInd w:w="-68" w:type="dxa"/>
        <w:tblLayout w:type="fixed"/>
        <w:tblCellMar>
          <w:left w:w="70" w:type="dxa"/>
          <w:right w:w="70" w:type="dxa"/>
        </w:tblCellMar>
        <w:tblLook w:val="0000" w:firstRow="0" w:lastRow="0" w:firstColumn="0" w:lastColumn="0" w:noHBand="0" w:noVBand="0"/>
      </w:tblPr>
      <w:tblGrid>
        <w:gridCol w:w="1913"/>
        <w:gridCol w:w="6379"/>
      </w:tblGrid>
      <w:tr w:rsidR="003F3DD2">
        <w:trPr>
          <w:cantSplit/>
        </w:trPr>
        <w:tc>
          <w:tcPr>
            <w:tcW w:w="1913" w:type="dxa"/>
          </w:tcPr>
          <w:p w:rsidR="003F3DD2" w:rsidRDefault="003F3DD2">
            <w:pPr>
              <w:pStyle w:val="parxp"/>
              <w:spacing w:after="0"/>
              <w:jc w:val="left"/>
            </w:pPr>
            <w:r>
              <w:lastRenderedPageBreak/>
              <w:t>Impôt des personnes morales</w:t>
            </w:r>
          </w:p>
        </w:tc>
        <w:tc>
          <w:tcPr>
            <w:tcW w:w="6379" w:type="dxa"/>
          </w:tcPr>
          <w:p w:rsidR="003F3DD2" w:rsidRDefault="003F3DD2">
            <w:pPr>
              <w:pStyle w:val="parxp"/>
            </w:pPr>
            <w:r>
              <w:rPr>
                <w:b/>
              </w:rPr>
              <w:t>Art. 3   </w:t>
            </w:r>
            <w:r>
              <w:t>Les taux des impôts sur le bénéfice et le capital des personnes morales sont identiques à ceux de l'impôt cantonal.</w:t>
            </w:r>
          </w:p>
        </w:tc>
      </w:tr>
      <w:tr w:rsidR="00D075BE">
        <w:trPr>
          <w:cantSplit/>
        </w:trPr>
        <w:tc>
          <w:tcPr>
            <w:tcW w:w="1913" w:type="dxa"/>
          </w:tcPr>
          <w:p w:rsidR="00D075BE" w:rsidRDefault="00D075BE">
            <w:pPr>
              <w:pStyle w:val="parxp"/>
              <w:spacing w:after="0"/>
              <w:jc w:val="left"/>
            </w:pPr>
          </w:p>
        </w:tc>
        <w:tc>
          <w:tcPr>
            <w:tcW w:w="6379" w:type="dxa"/>
          </w:tcPr>
          <w:p w:rsidR="00D075BE" w:rsidRDefault="00D075BE">
            <w:pPr>
              <w:pStyle w:val="parxp"/>
              <w:rPr>
                <w:b/>
              </w:rPr>
            </w:pPr>
          </w:p>
        </w:tc>
      </w:tr>
      <w:tr w:rsidR="003F3DD2">
        <w:trPr>
          <w:cantSplit/>
        </w:trPr>
        <w:tc>
          <w:tcPr>
            <w:tcW w:w="1913" w:type="dxa"/>
          </w:tcPr>
          <w:p w:rsidR="003F3DD2" w:rsidRDefault="003F3DD2">
            <w:pPr>
              <w:pStyle w:val="par1p"/>
              <w:jc w:val="left"/>
            </w:pPr>
            <w:r>
              <w:t>Dispositions applicables</w:t>
            </w:r>
          </w:p>
        </w:tc>
        <w:tc>
          <w:tcPr>
            <w:tcW w:w="6379" w:type="dxa"/>
          </w:tcPr>
          <w:p w:rsidR="003F3DD2" w:rsidRDefault="003F3DD2" w:rsidP="00AB0447">
            <w:pPr>
              <w:pStyle w:val="par1p"/>
            </w:pPr>
            <w:r>
              <w:rPr>
                <w:b/>
              </w:rPr>
              <w:t>Art. </w:t>
            </w:r>
            <w:r w:rsidR="00AB0447">
              <w:rPr>
                <w:b/>
              </w:rPr>
              <w:t>4</w:t>
            </w:r>
            <w:r>
              <w:rPr>
                <w:b/>
              </w:rPr>
              <w:t>   </w:t>
            </w:r>
            <w:r>
              <w:t>Les dispositions de la LCdir sont au surplus applicables en matière d'impôt communal.</w:t>
            </w:r>
          </w:p>
        </w:tc>
      </w:tr>
      <w:tr w:rsidR="003F3DD2">
        <w:trPr>
          <w:cantSplit/>
        </w:trPr>
        <w:tc>
          <w:tcPr>
            <w:tcW w:w="1913" w:type="dxa"/>
          </w:tcPr>
          <w:p w:rsidR="003F3DD2" w:rsidRDefault="003F3DD2">
            <w:pPr>
              <w:pStyle w:val="par1p"/>
              <w:jc w:val="left"/>
            </w:pPr>
            <w:r>
              <w:t>Abrogation</w:t>
            </w:r>
          </w:p>
        </w:tc>
        <w:tc>
          <w:tcPr>
            <w:tcW w:w="6379" w:type="dxa"/>
          </w:tcPr>
          <w:p w:rsidR="003F3DD2" w:rsidRDefault="003F3DD2" w:rsidP="00AB0447">
            <w:pPr>
              <w:pStyle w:val="par1p"/>
            </w:pPr>
            <w:r>
              <w:rPr>
                <w:b/>
              </w:rPr>
              <w:t>Art. </w:t>
            </w:r>
            <w:r w:rsidR="00AB0447">
              <w:rPr>
                <w:b/>
              </w:rPr>
              <w:t>5</w:t>
            </w:r>
            <w:r>
              <w:t>   Le présent arrêté abroge toutes dispositions antérieures contraires et notamment l'arrêté du Conseil général, du .................</w:t>
            </w:r>
          </w:p>
        </w:tc>
      </w:tr>
      <w:tr w:rsidR="003F3DD2">
        <w:trPr>
          <w:cantSplit/>
        </w:trPr>
        <w:tc>
          <w:tcPr>
            <w:tcW w:w="1913" w:type="dxa"/>
          </w:tcPr>
          <w:p w:rsidR="003F3DD2" w:rsidRDefault="003F3DD2">
            <w:pPr>
              <w:pStyle w:val="par1p"/>
              <w:jc w:val="left"/>
            </w:pPr>
            <w:r>
              <w:t>Entrée en</w:t>
            </w:r>
            <w:r>
              <w:br/>
              <w:t>vigueur</w:t>
            </w:r>
          </w:p>
        </w:tc>
        <w:tc>
          <w:tcPr>
            <w:tcW w:w="6379" w:type="dxa"/>
          </w:tcPr>
          <w:p w:rsidR="003F3DD2" w:rsidRDefault="003F3DD2" w:rsidP="00AB0447">
            <w:pPr>
              <w:pStyle w:val="par1p"/>
            </w:pPr>
            <w:r>
              <w:rPr>
                <w:b/>
              </w:rPr>
              <w:t>Art. </w:t>
            </w:r>
            <w:r w:rsidR="00AB0447">
              <w:rPr>
                <w:b/>
              </w:rPr>
              <w:t>6</w:t>
            </w:r>
            <w:r>
              <w:t xml:space="preserve">   Le Conseil communal est chargé de l'application du présent arrêté, qui entre en vigueur au 1er janvier </w:t>
            </w:r>
            <w:r w:rsidR="00991B36" w:rsidRPr="00991B36">
              <w:rPr>
                <w:color w:val="FF0000"/>
              </w:rPr>
              <w:t>xxxx</w:t>
            </w:r>
            <w:r>
              <w:t>.</w:t>
            </w:r>
          </w:p>
        </w:tc>
      </w:tr>
      <w:tr w:rsidR="003F3DD2">
        <w:trPr>
          <w:cantSplit/>
        </w:trPr>
        <w:tc>
          <w:tcPr>
            <w:tcW w:w="1913" w:type="dxa"/>
          </w:tcPr>
          <w:p w:rsidR="003F3DD2" w:rsidRDefault="003F3DD2">
            <w:pPr>
              <w:pStyle w:val="par1p"/>
              <w:jc w:val="left"/>
            </w:pPr>
            <w:r>
              <w:t>Sanction</w:t>
            </w:r>
          </w:p>
        </w:tc>
        <w:tc>
          <w:tcPr>
            <w:tcW w:w="6379" w:type="dxa"/>
          </w:tcPr>
          <w:p w:rsidR="003F3DD2" w:rsidRDefault="003F3DD2" w:rsidP="00AB0447">
            <w:pPr>
              <w:pStyle w:val="par1p"/>
            </w:pPr>
            <w:r>
              <w:rPr>
                <w:b/>
              </w:rPr>
              <w:t>Art. </w:t>
            </w:r>
            <w:r w:rsidR="00AB0447">
              <w:rPr>
                <w:b/>
              </w:rPr>
              <w:t>7</w:t>
            </w:r>
            <w:bookmarkStart w:id="0" w:name="_GoBack"/>
            <w:bookmarkEnd w:id="0"/>
            <w:r>
              <w:t>   Le présent arrêté sera soumis à la sanction du Conseil d'</w:t>
            </w:r>
            <w:r w:rsidR="00991B36">
              <w:t>État</w:t>
            </w:r>
            <w:r>
              <w:t>, à l'expiration du délai référendaire.</w:t>
            </w:r>
          </w:p>
        </w:tc>
      </w:tr>
    </w:tbl>
    <w:p w:rsidR="003F3DD2" w:rsidRDefault="003F3DD2">
      <w:pPr>
        <w:pStyle w:val="PartArts"/>
      </w:pPr>
    </w:p>
    <w:p w:rsidR="003F3DD2" w:rsidRDefault="003F3DD2">
      <w:pPr>
        <w:pStyle w:val="PartArts"/>
      </w:pPr>
    </w:p>
    <w:p w:rsidR="003F3DD2" w:rsidRDefault="003F3DD2">
      <w:pPr>
        <w:pStyle w:val="ParNorm"/>
        <w:spacing w:after="360"/>
      </w:pPr>
      <w:r>
        <w:t>............,</w:t>
      </w:r>
      <w:r>
        <w:tab/>
        <w:t>le</w:t>
      </w:r>
    </w:p>
    <w:p w:rsidR="003F3DD2" w:rsidRDefault="003F3DD2">
      <w:pPr>
        <w:pStyle w:val="ParNorm"/>
        <w:spacing w:after="360"/>
        <w:jc w:val="right"/>
      </w:pPr>
      <w:r>
        <w:t xml:space="preserve">AU NOM DU CONSEIL </w:t>
      </w:r>
      <w:r w:rsidR="00991B36">
        <w:t>GÉNÉRAL</w:t>
      </w:r>
    </w:p>
    <w:sectPr w:rsidR="003F3DD2" w:rsidSect="003F3DD2">
      <w:headerReference w:type="default" r:id="rId6"/>
      <w:footerReference w:type="default" r:id="rId7"/>
      <w:pgSz w:w="11907" w:h="16840" w:code="9"/>
      <w:pgMar w:top="1701" w:right="1418" w:bottom="1418" w:left="2268" w:header="567" w:footer="567"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DD2" w:rsidRDefault="003F3DD2">
      <w:r>
        <w:separator/>
      </w:r>
    </w:p>
  </w:endnote>
  <w:endnote w:type="continuationSeparator" w:id="0">
    <w:p w:rsidR="003F3DD2" w:rsidRDefault="003F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D2" w:rsidRDefault="003F3DD2">
    <w:pPr>
      <w:pStyle w:val="Pieddepage"/>
      <w:tabs>
        <w:tab w:val="clear" w:pos="4536"/>
        <w:tab w:val="clear" w:pos="9072"/>
        <w:tab w:val="right" w:pos="8222"/>
      </w:tabs>
      <w:jc w:val="right"/>
    </w:pPr>
    <w:r>
      <w:rPr>
        <w:rStyle w:val="Numrodepage"/>
      </w:rPr>
      <w:fldChar w:fldCharType="begin"/>
    </w:r>
    <w:r>
      <w:rPr>
        <w:rStyle w:val="Numrodepage"/>
      </w:rPr>
      <w:instrText xml:space="preserve"> PAGE </w:instrText>
    </w:r>
    <w:r>
      <w:rPr>
        <w:rStyle w:val="Numrodepage"/>
      </w:rPr>
      <w:fldChar w:fldCharType="separate"/>
    </w:r>
    <w:r w:rsidR="00AB0447">
      <w:rPr>
        <w:rStyle w:val="Numrodepage"/>
        <w:noProof/>
      </w:rPr>
      <w:t>2</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DD2" w:rsidRDefault="003F3DD2">
      <w:r>
        <w:separator/>
      </w:r>
    </w:p>
  </w:footnote>
  <w:footnote w:type="continuationSeparator" w:id="0">
    <w:p w:rsidR="003F3DD2" w:rsidRDefault="003F3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D2" w:rsidRDefault="003F3DD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intFractionalCharacterWidth/>
  <w:attachedTemplate r:id="rId1"/>
  <w:doNotTrackMoves/>
  <w:defaultTabStop w:val="454"/>
  <w:hyphenationZone w:val="57"/>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3DD2"/>
    <w:rsid w:val="003F3DD2"/>
    <w:rsid w:val="005F0DEF"/>
    <w:rsid w:val="00991B36"/>
    <w:rsid w:val="00AB0447"/>
    <w:rsid w:val="00D075B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0DB21"/>
  <w15:docId w15:val="{7DA7ED89-AE26-40D3-9274-359DA30A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CG Times"/>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cs="Times New Roman"/>
      <w:sz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pPr>
      <w:tabs>
        <w:tab w:val="center" w:pos="4819"/>
        <w:tab w:val="right" w:pos="9071"/>
      </w:tabs>
    </w:pPr>
  </w:style>
  <w:style w:type="character" w:customStyle="1" w:styleId="En-tteCar">
    <w:name w:val="En-tête Car"/>
    <w:basedOn w:val="Policepardfaut"/>
    <w:link w:val="En-tte"/>
    <w:uiPriority w:val="99"/>
    <w:semiHidden/>
    <w:rsid w:val="003F3DD2"/>
    <w:rPr>
      <w:rFonts w:ascii="Arial" w:hAnsi="Arial" w:cs="Times New Roman"/>
      <w:sz w:val="22"/>
      <w:lang w:val="fr-FR" w:eastAsia="fr-FR"/>
    </w:rPr>
  </w:style>
  <w:style w:type="paragraph" w:customStyle="1" w:styleId="ParNorm">
    <w:name w:val="ParNorm"/>
    <w:basedOn w:val="Normal"/>
    <w:pPr>
      <w:spacing w:after="240"/>
      <w:jc w:val="both"/>
    </w:pPr>
  </w:style>
  <w:style w:type="paragraph" w:customStyle="1" w:styleId="ParArr">
    <w:name w:val="ParArr"/>
    <w:basedOn w:val="Normal"/>
    <w:pPr>
      <w:spacing w:before="240" w:after="480"/>
      <w:ind w:left="2268"/>
    </w:pPr>
  </w:style>
  <w:style w:type="paragraph" w:customStyle="1" w:styleId="Date1">
    <w:name w:val="Date1"/>
    <w:basedOn w:val="Normal"/>
    <w:pPr>
      <w:spacing w:before="240" w:after="480"/>
      <w:ind w:left="2268"/>
    </w:pPr>
  </w:style>
  <w:style w:type="paragraph" w:customStyle="1" w:styleId="sicepc">
    <w:name w:val="sicepc"/>
    <w:basedOn w:val="Normal"/>
    <w:pPr>
      <w:tabs>
        <w:tab w:val="left" w:pos="7938"/>
      </w:tabs>
      <w:spacing w:after="240"/>
      <w:ind w:left="5245"/>
    </w:pPr>
  </w:style>
  <w:style w:type="paragraph" w:customStyle="1" w:styleId="ParArt">
    <w:name w:val="ParArt"/>
    <w:basedOn w:val="ParNorm"/>
    <w:pPr>
      <w:spacing w:after="480"/>
    </w:pPr>
  </w:style>
  <w:style w:type="paragraph" w:customStyle="1" w:styleId="cepc">
    <w:name w:val="cepc"/>
    <w:basedOn w:val="sicepc"/>
  </w:style>
  <w:style w:type="paragraph" w:customStyle="1" w:styleId="sicepopc">
    <w:name w:val="sicepopc"/>
    <w:basedOn w:val="Normal"/>
    <w:pPr>
      <w:tabs>
        <w:tab w:val="left" w:pos="7939"/>
      </w:tabs>
      <w:spacing w:after="240"/>
      <w:ind w:left="5245"/>
    </w:pPr>
  </w:style>
  <w:style w:type="paragraph" w:customStyle="1" w:styleId="sicevpc">
    <w:name w:val="sicevpc"/>
    <w:basedOn w:val="Normal"/>
    <w:pPr>
      <w:tabs>
        <w:tab w:val="left" w:pos="7938"/>
      </w:tabs>
      <w:spacing w:after="240"/>
      <w:ind w:left="5103"/>
    </w:pPr>
  </w:style>
  <w:style w:type="paragraph" w:customStyle="1" w:styleId="siceppoc">
    <w:name w:val="siceppoc"/>
    <w:basedOn w:val="Normal"/>
    <w:pPr>
      <w:tabs>
        <w:tab w:val="left" w:pos="7230"/>
      </w:tabs>
      <w:spacing w:after="240"/>
      <w:ind w:left="5103"/>
    </w:pPr>
  </w:style>
  <w:style w:type="paragraph" w:customStyle="1" w:styleId="sicepppc">
    <w:name w:val="sicepppc"/>
    <w:basedOn w:val="Normal"/>
    <w:pPr>
      <w:spacing w:after="240" w:line="240" w:lineRule="atLeast"/>
      <w:ind w:left="4678"/>
    </w:pPr>
  </w:style>
  <w:style w:type="paragraph" w:customStyle="1" w:styleId="sicevppc">
    <w:name w:val="sicevppc"/>
    <w:basedOn w:val="Normal"/>
    <w:pPr>
      <w:tabs>
        <w:tab w:val="left" w:pos="7230"/>
      </w:tabs>
      <w:spacing w:after="240"/>
      <w:ind w:left="4678"/>
    </w:pPr>
  </w:style>
  <w:style w:type="character" w:styleId="Marquedecommentaire">
    <w:name w:val="annotation reference"/>
    <w:basedOn w:val="Policepardfaut"/>
    <w:uiPriority w:val="99"/>
    <w:semiHidden/>
    <w:rPr>
      <w:rFonts w:cs="Times New Roman"/>
      <w:sz w:val="16"/>
    </w:rPr>
  </w:style>
  <w:style w:type="paragraph" w:styleId="Pieddepage">
    <w:name w:val="footer"/>
    <w:basedOn w:val="Normal"/>
    <w:link w:val="PieddepageCar"/>
    <w:uiPriority w:val="99"/>
    <w:semiHidden/>
    <w:pPr>
      <w:tabs>
        <w:tab w:val="center" w:pos="4536"/>
        <w:tab w:val="right" w:pos="9072"/>
      </w:tabs>
    </w:pPr>
  </w:style>
  <w:style w:type="character" w:customStyle="1" w:styleId="PieddepageCar">
    <w:name w:val="Pied de page Car"/>
    <w:basedOn w:val="Policepardfaut"/>
    <w:link w:val="Pieddepage"/>
    <w:uiPriority w:val="99"/>
    <w:semiHidden/>
    <w:rsid w:val="003F3DD2"/>
    <w:rPr>
      <w:rFonts w:ascii="Arial" w:hAnsi="Arial" w:cs="Times New Roman"/>
      <w:sz w:val="22"/>
      <w:lang w:val="fr-FR" w:eastAsia="fr-FR"/>
    </w:rPr>
  </w:style>
  <w:style w:type="paragraph" w:customStyle="1" w:styleId="texte-point">
    <w:name w:val="texte-point"/>
    <w:basedOn w:val="Normal"/>
    <w:pPr>
      <w:tabs>
        <w:tab w:val="left" w:pos="2694"/>
        <w:tab w:val="left" w:leader="dot" w:pos="9214"/>
      </w:tabs>
      <w:spacing w:after="240"/>
      <w:ind w:left="3119" w:hanging="3119"/>
    </w:pPr>
  </w:style>
  <w:style w:type="paragraph" w:customStyle="1" w:styleId="PartArts">
    <w:name w:val="PartArts"/>
    <w:basedOn w:val="ParNorm"/>
    <w:pPr>
      <w:spacing w:after="480"/>
    </w:pPr>
  </w:style>
  <w:style w:type="paragraph" w:styleId="Notedebasdepage">
    <w:name w:val="footnote text"/>
    <w:basedOn w:val="Normal"/>
    <w:link w:val="NotedebasdepageCar"/>
    <w:uiPriority w:val="99"/>
    <w:semiHidden/>
    <w:rPr>
      <w:sz w:val="20"/>
    </w:rPr>
  </w:style>
  <w:style w:type="character" w:customStyle="1" w:styleId="NotedebasdepageCar">
    <w:name w:val="Note de bas de page Car"/>
    <w:basedOn w:val="Policepardfaut"/>
    <w:link w:val="Notedebasdepage"/>
    <w:uiPriority w:val="99"/>
    <w:semiHidden/>
    <w:rsid w:val="003F3DD2"/>
    <w:rPr>
      <w:rFonts w:ascii="Arial" w:hAnsi="Arial" w:cs="Times New Roman"/>
      <w:lang w:val="fr-FR" w:eastAsia="fr-FR"/>
    </w:rPr>
  </w:style>
  <w:style w:type="character" w:styleId="Appelnotedebasdep">
    <w:name w:val="footnote reference"/>
    <w:basedOn w:val="Policepardfaut"/>
    <w:uiPriority w:val="99"/>
    <w:semiHidden/>
    <w:rPr>
      <w:rFonts w:cs="Times New Roman"/>
      <w:vertAlign w:val="superscript"/>
    </w:rPr>
  </w:style>
  <w:style w:type="paragraph" w:styleId="Commentaire">
    <w:name w:val="annotation text"/>
    <w:basedOn w:val="Normal"/>
    <w:link w:val="CommentaireCar"/>
    <w:uiPriority w:val="99"/>
    <w:semiHidden/>
    <w:rPr>
      <w:sz w:val="20"/>
    </w:rPr>
  </w:style>
  <w:style w:type="character" w:customStyle="1" w:styleId="CommentaireCar">
    <w:name w:val="Commentaire Car"/>
    <w:basedOn w:val="Policepardfaut"/>
    <w:link w:val="Commentaire"/>
    <w:uiPriority w:val="99"/>
    <w:semiHidden/>
    <w:rsid w:val="003F3DD2"/>
    <w:rPr>
      <w:rFonts w:ascii="Arial" w:hAnsi="Arial" w:cs="Times New Roman"/>
      <w:lang w:val="fr-FR" w:eastAsia="fr-FR"/>
    </w:rPr>
  </w:style>
  <w:style w:type="character" w:styleId="Numrodepage">
    <w:name w:val="page number"/>
    <w:basedOn w:val="Policepardfaut"/>
    <w:uiPriority w:val="99"/>
    <w:semiHidden/>
    <w:rPr>
      <w:rFonts w:cs="Times New Roman"/>
    </w:rPr>
  </w:style>
  <w:style w:type="paragraph" w:customStyle="1" w:styleId="parxp">
    <w:name w:val="parxp"/>
    <w:basedOn w:val="Normal"/>
    <w:pPr>
      <w:spacing w:after="240"/>
      <w:jc w:val="both"/>
    </w:pPr>
  </w:style>
  <w:style w:type="paragraph" w:customStyle="1" w:styleId="par1p">
    <w:name w:val="par1p"/>
    <w:basedOn w:val="parxp"/>
    <w:pPr>
      <w:spacing w:after="480"/>
    </w:pPr>
  </w:style>
  <w:style w:type="paragraph" w:customStyle="1" w:styleId="contenu">
    <w:name w:val="contenu"/>
    <w:basedOn w:val="Normal"/>
    <w:pPr>
      <w:spacing w:before="480" w:after="480"/>
      <w:jc w:val="center"/>
    </w:pPr>
    <w:rPr>
      <w:b/>
      <w:sz w:val="24"/>
    </w:rPr>
  </w:style>
  <w:style w:type="paragraph" w:customStyle="1" w:styleId="chapitre">
    <w:name w:val="chapitre"/>
    <w:basedOn w:val="Normal"/>
    <w:pPr>
      <w:spacing w:before="720" w:after="720"/>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THOME\U_WORD\MODELES\FORMAT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FORMATAR.DOT</Template>
  <TotalTime>16</TotalTime>
  <Pages>2</Pages>
  <Words>318</Words>
  <Characters>1755</Characters>
  <Application>Microsoft Office Word</Application>
  <DocSecurity>0</DocSecurity>
  <Lines>14</Lines>
  <Paragraphs>4</Paragraphs>
  <ScaleCrop>false</ScaleCrop>
  <Company>Etat de Neuchâtel</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arrêté CG fixation du coefficient d'impôt</dc:title>
  <dc:subject/>
  <dc:creator>Schenkel Marie-Madeleine</dc:creator>
  <cp:keywords/>
  <dc:description/>
  <cp:lastModifiedBy>Gattolliat Sylvie</cp:lastModifiedBy>
  <cp:revision>6</cp:revision>
  <cp:lastPrinted>2000-11-01T09:17:00Z</cp:lastPrinted>
  <dcterms:created xsi:type="dcterms:W3CDTF">2004-02-16T12:25:00Z</dcterms:created>
  <dcterms:modified xsi:type="dcterms:W3CDTF">2019-10-01T09:28:00Z</dcterms:modified>
</cp:coreProperties>
</file>